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70" w:rsidRPr="00634221" w:rsidRDefault="00AE0870" w:rsidP="00634221">
      <w:pPr>
        <w:pStyle w:val="Standard"/>
        <w:spacing w:before="120" w:after="120"/>
        <w:outlineLvl w:val="1"/>
        <w:rPr>
          <w:rFonts w:cs="Times New Roman"/>
          <w:b/>
        </w:rPr>
      </w:pPr>
      <w:bookmarkStart w:id="0" w:name="section6.1."/>
      <w:bookmarkEnd w:id="0"/>
      <w:r w:rsidRPr="00634221">
        <w:rPr>
          <w:rFonts w:cs="Times New Roman"/>
          <w:b/>
        </w:rPr>
        <w:t>Groups and Organizations</w:t>
      </w:r>
    </w:p>
    <w:p w:rsidR="00AE0870" w:rsidRPr="00634221" w:rsidRDefault="00AE0870" w:rsidP="00634221">
      <w:pPr>
        <w:pStyle w:val="Standard"/>
        <w:spacing w:before="120" w:after="120"/>
        <w:outlineLvl w:val="1"/>
        <w:rPr>
          <w:rFonts w:cs="Times New Roman"/>
          <w:b/>
        </w:rPr>
      </w:pPr>
      <w:r w:rsidRPr="00634221">
        <w:rPr>
          <w:rFonts w:cs="Times New Roman"/>
          <w:b/>
        </w:rPr>
        <w:t>1. Types of Groups</w:t>
      </w:r>
    </w:p>
    <w:p w:rsidR="00AE0870" w:rsidRPr="00634221" w:rsidRDefault="00AE0870" w:rsidP="00634221">
      <w:pPr>
        <w:pStyle w:val="Standard"/>
        <w:spacing w:before="239"/>
        <w:ind w:firstLine="288"/>
        <w:rPr>
          <w:rFonts w:cs="Times New Roman"/>
        </w:rPr>
      </w:pPr>
      <w:r w:rsidRPr="00634221">
        <w:rPr>
          <w:rFonts w:cs="Times New Roman"/>
        </w:rPr>
        <w:t>Most of us feel comfortable using the word “group” without giving it much thought. But what does it mean to be part of a group? The concept of a group is central to much of how we think about society and human interaction. As Georg Simmel (1858–1915) put it, “[s]ociety exists where a number of individuals enter into interaction” (1908). Society exists in groups. For Simmel, society did not exist otherwise. What fascinated him was the way in which pe</w:t>
      </w:r>
      <w:r w:rsidRPr="00634221">
        <w:rPr>
          <w:rFonts w:cs="Times New Roman"/>
        </w:rPr>
        <w:t>o</w:t>
      </w:r>
      <w:r w:rsidRPr="00634221">
        <w:rPr>
          <w:rFonts w:cs="Times New Roman"/>
        </w:rPr>
        <w:t>ple mutually attune to one another to create relatively enduring forms. In a group, individuals behave differently than they would if they were alone. They conform, they resist, they forge alliances, they cooperate, they betray, they organize, they defer gratification, they show r</w:t>
      </w:r>
      <w:r w:rsidRPr="00634221">
        <w:rPr>
          <w:rFonts w:cs="Times New Roman"/>
        </w:rPr>
        <w:t>e</w:t>
      </w:r>
      <w:r w:rsidRPr="00634221">
        <w:rPr>
          <w:rFonts w:cs="Times New Roman"/>
        </w:rPr>
        <w:t xml:space="preserve">spect, they expect obedience, they share, they manipulate, etc. Being in a group changes their behaviour and their abilities. This is one of the founding insights of sociology: the whole is greater than the sum of its parts. The group has properties over and above the properties of its individual members. It has a reality </w:t>
      </w:r>
      <w:r w:rsidRPr="00634221">
        <w:rPr>
          <w:rStyle w:val="italic"/>
          <w:rFonts w:cs="Times New Roman"/>
        </w:rPr>
        <w:t>sui generis</w:t>
      </w:r>
      <w:r w:rsidRPr="00634221">
        <w:rPr>
          <w:rFonts w:cs="Times New Roman"/>
        </w:rPr>
        <w:t>, of its own kind. But how exactly does the whole come to be greater?</w:t>
      </w:r>
    </w:p>
    <w:p w:rsidR="00AE0870" w:rsidRPr="00634221" w:rsidRDefault="00AE0870" w:rsidP="00634221">
      <w:pPr>
        <w:pStyle w:val="Standard"/>
        <w:spacing w:before="120" w:after="120"/>
        <w:outlineLvl w:val="2"/>
        <w:rPr>
          <w:rFonts w:cs="Times New Roman"/>
          <w:b/>
        </w:rPr>
      </w:pPr>
      <w:r w:rsidRPr="00634221">
        <w:rPr>
          <w:rFonts w:cs="Times New Roman"/>
          <w:b/>
        </w:rPr>
        <w:t>Defining a Group</w:t>
      </w:r>
    </w:p>
    <w:p w:rsidR="00AE0870" w:rsidRPr="00634221" w:rsidRDefault="00AE0870" w:rsidP="00634221">
      <w:pPr>
        <w:pStyle w:val="Standard"/>
        <w:spacing w:before="239"/>
        <w:ind w:firstLine="288"/>
        <w:rPr>
          <w:rFonts w:cs="Times New Roman"/>
        </w:rPr>
      </w:pPr>
      <w:r w:rsidRPr="00634221">
        <w:rPr>
          <w:rFonts w:cs="Times New Roman"/>
        </w:rPr>
        <w:t xml:space="preserve">How can we hone the meaning of the term </w:t>
      </w:r>
      <w:r w:rsidRPr="00634221">
        <w:rPr>
          <w:rStyle w:val="bold"/>
          <w:rFonts w:cs="Times New Roman"/>
        </w:rPr>
        <w:t>group</w:t>
      </w:r>
      <w:r w:rsidRPr="00634221">
        <w:rPr>
          <w:rFonts w:cs="Times New Roman"/>
        </w:rPr>
        <w:t xml:space="preserve"> more precisely for sociological purpo</w:t>
      </w:r>
      <w:r w:rsidRPr="00634221">
        <w:rPr>
          <w:rFonts w:cs="Times New Roman"/>
        </w:rPr>
        <w:t>s</w:t>
      </w:r>
      <w:r w:rsidRPr="00634221">
        <w:rPr>
          <w:rFonts w:cs="Times New Roman"/>
        </w:rPr>
        <w:t>es? The term is an amorphous one and can refer to a wide variety of gatherings, from just two people (think about a “group project” in school when you partner with another student), a club, a regular gathering of friends, or people who work together or share a hobby. In short, the term refers to any collection of at least two people who interact with some frequency and who share a sense that their identity is somehow aligned with the group. Of course, every time people gather, they do not necessarily form a group. An audience assembled to watch a street performer is a one-time random gathering. Conservative-minded people who come t</w:t>
      </w:r>
      <w:r w:rsidRPr="00634221">
        <w:rPr>
          <w:rFonts w:cs="Times New Roman"/>
        </w:rPr>
        <w:t>o</w:t>
      </w:r>
      <w:r w:rsidRPr="00634221">
        <w:rPr>
          <w:rFonts w:cs="Times New Roman"/>
        </w:rPr>
        <w:t xml:space="preserve">gether to vote in an election are not a group because the members do not necessarily interact with one another with some frequency. People who exist in the same place at the same time, but who do not interact or share a sense of identity—such as a bunch of people standing in line at Starbucks—are considered an  </w:t>
      </w:r>
      <w:r w:rsidRPr="00634221">
        <w:rPr>
          <w:rStyle w:val="bold"/>
          <w:rFonts w:cs="Times New Roman"/>
        </w:rPr>
        <w:t>aggregate</w:t>
      </w:r>
      <w:r w:rsidRPr="00634221">
        <w:rPr>
          <w:rFonts w:cs="Times New Roman"/>
        </w:rPr>
        <w:t>, or a crowd. People who share similar cha</w:t>
      </w:r>
      <w:r w:rsidRPr="00634221">
        <w:rPr>
          <w:rFonts w:cs="Times New Roman"/>
        </w:rPr>
        <w:t>r</w:t>
      </w:r>
      <w:r w:rsidRPr="00634221">
        <w:rPr>
          <w:rFonts w:cs="Times New Roman"/>
        </w:rPr>
        <w:t xml:space="preserve">acteristics but are not otherwise tied to one another in any way are considered a </w:t>
      </w:r>
      <w:r w:rsidRPr="00634221">
        <w:rPr>
          <w:rStyle w:val="bold"/>
          <w:rFonts w:cs="Times New Roman"/>
        </w:rPr>
        <w:t>category</w:t>
      </w:r>
      <w:r w:rsidRPr="00634221">
        <w:rPr>
          <w:rFonts w:cs="Times New Roman"/>
        </w:rPr>
        <w:t>.</w:t>
      </w:r>
    </w:p>
    <w:p w:rsidR="00AE0870" w:rsidRPr="00634221" w:rsidRDefault="00AE0870" w:rsidP="00634221">
      <w:pPr>
        <w:pStyle w:val="Standard"/>
        <w:spacing w:before="239"/>
        <w:ind w:firstLine="288"/>
        <w:rPr>
          <w:rFonts w:cs="Times New Roman"/>
        </w:rPr>
      </w:pPr>
      <w:r w:rsidRPr="00634221">
        <w:rPr>
          <w:rFonts w:cs="Times New Roman"/>
        </w:rPr>
        <w:t>An example of a category would be Millennials, the term given to all children born from approximately 1980 to 2000. Why are Millennials a category and not a group? Because while some of them may share a sense of identity, they do not, as a whole, interact frequently with each other.</w:t>
      </w:r>
    </w:p>
    <w:p w:rsidR="00AE0870" w:rsidRPr="00634221" w:rsidRDefault="00AE0870" w:rsidP="00634221">
      <w:pPr>
        <w:pStyle w:val="Standard"/>
        <w:spacing w:before="239"/>
        <w:ind w:firstLine="288"/>
        <w:rPr>
          <w:rFonts w:cs="Times New Roman"/>
        </w:rPr>
      </w:pPr>
      <w:r w:rsidRPr="00634221">
        <w:rPr>
          <w:rFonts w:cs="Times New Roman"/>
        </w:rPr>
        <w:t>Interestingly, people within an aggregate or category can become a group. During disa</w:t>
      </w:r>
      <w:r w:rsidRPr="00634221">
        <w:rPr>
          <w:rFonts w:cs="Times New Roman"/>
        </w:rPr>
        <w:t>s</w:t>
      </w:r>
      <w:r w:rsidRPr="00634221">
        <w:rPr>
          <w:rFonts w:cs="Times New Roman"/>
        </w:rPr>
        <w:t xml:space="preserve">ters, people in a neighbourhood (an aggregate) who did not know each other might become friendly and depend on each other at the local shelter. After the disaster ends and the people go back to simply living near each other, the feeling of cohesiveness may last since they have all shared an experience. They might remain a group, practising emergency </w:t>
      </w:r>
      <w:r w:rsidRPr="00634221">
        <w:rPr>
          <w:rFonts w:cs="Times New Roman"/>
        </w:rPr>
        <w:lastRenderedPageBreak/>
        <w:t>readiness, coo</w:t>
      </w:r>
      <w:r w:rsidRPr="00634221">
        <w:rPr>
          <w:rFonts w:cs="Times New Roman"/>
        </w:rPr>
        <w:t>r</w:t>
      </w:r>
      <w:r w:rsidRPr="00634221">
        <w:rPr>
          <w:rFonts w:cs="Times New Roman"/>
        </w:rPr>
        <w:t>dinating supplies for next time, or taking turns caring for neighbours who need extra help. Similarly, there may be many groups within a single category. Consider teachers, for exa</w:t>
      </w:r>
      <w:r w:rsidRPr="00634221">
        <w:rPr>
          <w:rFonts w:cs="Times New Roman"/>
        </w:rPr>
        <w:t>m</w:t>
      </w:r>
      <w:r w:rsidRPr="00634221">
        <w:rPr>
          <w:rFonts w:cs="Times New Roman"/>
        </w:rPr>
        <w:t>ple. Within this category, groups may exist like teachers’ unions, teachers who coach, or staff members who are involved with the school board.</w:t>
      </w:r>
    </w:p>
    <w:p w:rsidR="00AE0870" w:rsidRPr="00634221" w:rsidRDefault="00AE0870" w:rsidP="00634221">
      <w:pPr>
        <w:pStyle w:val="Standard"/>
        <w:spacing w:before="120" w:after="120"/>
        <w:outlineLvl w:val="2"/>
        <w:rPr>
          <w:rFonts w:cs="Times New Roman"/>
          <w:b/>
        </w:rPr>
      </w:pPr>
      <w:r w:rsidRPr="00634221">
        <w:rPr>
          <w:rFonts w:cs="Times New Roman"/>
          <w:b/>
        </w:rPr>
        <w:t>Types of Groups</w:t>
      </w:r>
    </w:p>
    <w:p w:rsidR="00AE0870" w:rsidRPr="00634221" w:rsidRDefault="00AE0870" w:rsidP="00634221">
      <w:pPr>
        <w:pStyle w:val="Standard"/>
        <w:spacing w:before="239"/>
        <w:ind w:firstLine="288"/>
        <w:rPr>
          <w:rFonts w:cs="Times New Roman"/>
        </w:rPr>
      </w:pPr>
      <w:r w:rsidRPr="00634221">
        <w:rPr>
          <w:rFonts w:cs="Times New Roman"/>
        </w:rPr>
        <w:t>Sociologist Charles Horton Cooley (1864–1929) suggested that groups can broadly be d</w:t>
      </w:r>
      <w:r w:rsidRPr="00634221">
        <w:rPr>
          <w:rFonts w:cs="Times New Roman"/>
        </w:rPr>
        <w:t>i</w:t>
      </w:r>
      <w:r w:rsidRPr="00634221">
        <w:rPr>
          <w:rFonts w:cs="Times New Roman"/>
        </w:rPr>
        <w:t xml:space="preserve">vided into two categories: </w:t>
      </w:r>
      <w:r w:rsidRPr="00634221">
        <w:rPr>
          <w:rStyle w:val="bold"/>
          <w:rFonts w:cs="Times New Roman"/>
        </w:rPr>
        <w:t>primary groups</w:t>
      </w:r>
      <w:r w:rsidRPr="00634221">
        <w:rPr>
          <w:rFonts w:cs="Times New Roman"/>
        </w:rPr>
        <w:t xml:space="preserve"> and </w:t>
      </w:r>
      <w:r w:rsidRPr="00634221">
        <w:rPr>
          <w:rStyle w:val="bold"/>
          <w:rFonts w:cs="Times New Roman"/>
        </w:rPr>
        <w:t>secondary groups</w:t>
      </w:r>
      <w:r w:rsidRPr="00634221">
        <w:rPr>
          <w:rFonts w:cs="Times New Roman"/>
        </w:rPr>
        <w:t xml:space="preserve"> (Cooley 1909). According to Cooley, primary groups play the most critical role in our lives. The primary group is usua</w:t>
      </w:r>
      <w:r w:rsidRPr="00634221">
        <w:rPr>
          <w:rFonts w:cs="Times New Roman"/>
        </w:rPr>
        <w:t>l</w:t>
      </w:r>
      <w:r w:rsidRPr="00634221">
        <w:rPr>
          <w:rFonts w:cs="Times New Roman"/>
        </w:rPr>
        <w:t xml:space="preserve">ly fairly small and is made up of individuals who generally engage face-to-face in long-term, emotional ways. This group serves emotional needs: </w:t>
      </w:r>
      <w:r w:rsidRPr="00634221">
        <w:rPr>
          <w:rStyle w:val="bold"/>
          <w:rFonts w:cs="Times New Roman"/>
        </w:rPr>
        <w:t>expressive functions</w:t>
      </w:r>
      <w:r w:rsidRPr="00634221">
        <w:rPr>
          <w:rFonts w:cs="Times New Roman"/>
        </w:rPr>
        <w:t xml:space="preserve"> rather than pra</w:t>
      </w:r>
      <w:r w:rsidRPr="00634221">
        <w:rPr>
          <w:rFonts w:cs="Times New Roman"/>
        </w:rPr>
        <w:t>g</w:t>
      </w:r>
      <w:r w:rsidRPr="00634221">
        <w:rPr>
          <w:rFonts w:cs="Times New Roman"/>
        </w:rPr>
        <w:t>matic ones. The primary group is usually made up of significant others—those individuals who have the most impact on our socialization. The best example of a primary group is the family.</w:t>
      </w:r>
    </w:p>
    <w:p w:rsidR="00AE0870" w:rsidRPr="00634221" w:rsidRDefault="00AE0870" w:rsidP="00634221">
      <w:pPr>
        <w:pStyle w:val="Standard"/>
        <w:spacing w:before="239"/>
        <w:ind w:firstLine="288"/>
        <w:rPr>
          <w:rFonts w:cs="Times New Roman"/>
        </w:rPr>
      </w:pPr>
      <w:r w:rsidRPr="00634221">
        <w:rPr>
          <w:rFonts w:cs="Times New Roman"/>
        </w:rPr>
        <w:t xml:space="preserve">Secondary groups are often larger and impersonal. They may also be task focused and time limited. These groups serve an </w:t>
      </w:r>
      <w:r w:rsidRPr="00634221">
        <w:rPr>
          <w:rStyle w:val="bold"/>
          <w:rFonts w:cs="Times New Roman"/>
        </w:rPr>
        <w:t>instrumental function</w:t>
      </w:r>
      <w:r w:rsidRPr="00634221">
        <w:rPr>
          <w:rFonts w:cs="Times New Roman"/>
        </w:rPr>
        <w:t xml:space="preserve"> rather than an expressive one, meaning that their role is more goal or task oriented than emotional. A classroom or office can be an example of a secondary group. Neither primary nor secondary groups are bound by strict definitions or set limits. In fact, people can move from one group to another. A graduate seminar, for example, can start as a secondary group focused on the class at hand, but as the students work together throughout their program, they may find common interests and strong ties that transform them into a primary group.</w:t>
      </w:r>
    </w:p>
    <w:p w:rsidR="00AE0870" w:rsidRPr="00634221" w:rsidRDefault="00AE0870" w:rsidP="00634221">
      <w:pPr>
        <w:pStyle w:val="Standard"/>
        <w:spacing w:before="239"/>
        <w:ind w:firstLine="288"/>
        <w:rPr>
          <w:rFonts w:cs="Times New Roman"/>
        </w:rPr>
      </w:pPr>
      <w:r w:rsidRPr="00634221">
        <w:rPr>
          <w:rFonts w:cs="Times New Roman"/>
        </w:rPr>
        <w:t xml:space="preserve">Peter Marsden (1987) refers to one’s group of close social contacts as a </w:t>
      </w:r>
      <w:r w:rsidRPr="00634221">
        <w:rPr>
          <w:rStyle w:val="bold"/>
          <w:rFonts w:cs="Times New Roman"/>
        </w:rPr>
        <w:t>core discussion group</w:t>
      </w:r>
      <w:r w:rsidRPr="00634221">
        <w:rPr>
          <w:rFonts w:cs="Times New Roman"/>
        </w:rPr>
        <w:t>. These are individuals with whom you can discuss important personal matters or with whom you choose to spend your free time. Christakis and Fowler (2009) found that the ave</w:t>
      </w:r>
      <w:r w:rsidRPr="00634221">
        <w:rPr>
          <w:rFonts w:cs="Times New Roman"/>
        </w:rPr>
        <w:t>r</w:t>
      </w:r>
      <w:r w:rsidRPr="00634221">
        <w:rPr>
          <w:rFonts w:cs="Times New Roman"/>
        </w:rPr>
        <w:t>age North American had four close personal contacts. However, 12 percent of their sample had no close personal contacts of this sort, while 5 percent had more than eight close personal contacts. Half of the people listed in the core discussion group were characterized as friends, as might be expected, but the other half included family members, spouses, children, co</w:t>
      </w:r>
      <w:r w:rsidRPr="00634221">
        <w:rPr>
          <w:rFonts w:cs="Times New Roman"/>
        </w:rPr>
        <w:t>l</w:t>
      </w:r>
      <w:r w:rsidRPr="00634221">
        <w:rPr>
          <w:rFonts w:cs="Times New Roman"/>
        </w:rPr>
        <w:t>leagues, and professional consultants of various sorts. Marsden’s original research from the 1980s showed that the size of the core discussion group decreases as one ages, there was no difference in size between men and women, and those with a post-secondary degree had core discussion groups almost twice the size of those who had not completed high school.</w:t>
      </w:r>
    </w:p>
    <w:p w:rsidR="00AE0870" w:rsidRPr="00634221" w:rsidRDefault="00AE0870" w:rsidP="00634221">
      <w:pPr>
        <w:pStyle w:val="Standard"/>
        <w:rPr>
          <w:rFonts w:cs="Times New Roman"/>
        </w:rPr>
      </w:pPr>
    </w:p>
    <w:p w:rsidR="00AE0870" w:rsidRPr="00634221" w:rsidRDefault="00AE0870" w:rsidP="00634221">
      <w:pPr>
        <w:rPr>
          <w:rFonts w:cs="Times New Roman"/>
        </w:rPr>
        <w:sectPr w:rsidR="00AE0870" w:rsidRPr="00634221">
          <w:type w:val="continuous"/>
          <w:pgSz w:w="11906" w:h="16838"/>
          <w:pgMar w:top="1440" w:right="1440" w:bottom="1440" w:left="1440" w:header="720" w:footer="720" w:gutter="0"/>
          <w:cols w:space="720"/>
        </w:sectPr>
      </w:pPr>
    </w:p>
    <w:p w:rsidR="00AE0870" w:rsidRPr="00634221" w:rsidRDefault="00AE0870" w:rsidP="00634221">
      <w:pPr>
        <w:pStyle w:val="Standard"/>
        <w:spacing w:before="120" w:after="120"/>
        <w:outlineLvl w:val="2"/>
        <w:rPr>
          <w:rFonts w:cs="Times New Roman"/>
          <w:b/>
        </w:rPr>
      </w:pPr>
      <w:r w:rsidRPr="00634221">
        <w:rPr>
          <w:rFonts w:cs="Times New Roman"/>
          <w:b/>
        </w:rPr>
        <w:lastRenderedPageBreak/>
        <w:t>In-Groups and Out-Groups</w:t>
      </w:r>
    </w:p>
    <w:p w:rsidR="00AE0870" w:rsidRPr="00634221" w:rsidRDefault="00AE0870" w:rsidP="00634221">
      <w:pPr>
        <w:pStyle w:val="Standard"/>
        <w:spacing w:before="239"/>
        <w:ind w:firstLine="288"/>
        <w:rPr>
          <w:rFonts w:cs="Times New Roman"/>
        </w:rPr>
      </w:pPr>
      <w:r w:rsidRPr="00634221">
        <w:rPr>
          <w:rFonts w:cs="Times New Roman"/>
        </w:rPr>
        <w:t>One of the ways that groups can be powerful is through inclusion, and its inverse, excl</w:t>
      </w:r>
      <w:r w:rsidRPr="00634221">
        <w:rPr>
          <w:rFonts w:cs="Times New Roman"/>
        </w:rPr>
        <w:t>u</w:t>
      </w:r>
      <w:r w:rsidRPr="00634221">
        <w:rPr>
          <w:rFonts w:cs="Times New Roman"/>
        </w:rPr>
        <w:t>sion. In-groups and out-groups are subcategories of primary and secondary groups that help identify this dynamic. Primary groups consist of both in-groups and out-groups, as do se</w:t>
      </w:r>
      <w:r w:rsidRPr="00634221">
        <w:rPr>
          <w:rFonts w:cs="Times New Roman"/>
        </w:rPr>
        <w:t>c</w:t>
      </w:r>
      <w:r w:rsidRPr="00634221">
        <w:rPr>
          <w:rFonts w:cs="Times New Roman"/>
        </w:rPr>
        <w:t>ondary groups. The feeling that one belongs in an elite or select group is a heady one, while the feeling of not being allowed in, or of being in competition with a group, can be motiva</w:t>
      </w:r>
      <w:r w:rsidRPr="00634221">
        <w:rPr>
          <w:rFonts w:cs="Times New Roman"/>
        </w:rPr>
        <w:t>t</w:t>
      </w:r>
      <w:r w:rsidRPr="00634221">
        <w:rPr>
          <w:rFonts w:cs="Times New Roman"/>
        </w:rPr>
        <w:t xml:space="preserve">ing in a different way. Sociologist William Sumner (1840–1910) developed the </w:t>
      </w:r>
      <w:r w:rsidRPr="00634221">
        <w:rPr>
          <w:rFonts w:cs="Times New Roman"/>
        </w:rPr>
        <w:lastRenderedPageBreak/>
        <w:t xml:space="preserve">concepts of </w:t>
      </w:r>
      <w:r w:rsidRPr="00634221">
        <w:rPr>
          <w:rStyle w:val="bold"/>
          <w:rFonts w:cs="Times New Roman"/>
        </w:rPr>
        <w:t>in-group</w:t>
      </w:r>
      <w:r w:rsidRPr="00634221">
        <w:rPr>
          <w:rFonts w:cs="Times New Roman"/>
        </w:rPr>
        <w:t xml:space="preserve"> and </w:t>
      </w:r>
      <w:r w:rsidRPr="00634221">
        <w:rPr>
          <w:rStyle w:val="bold"/>
          <w:rFonts w:cs="Times New Roman"/>
        </w:rPr>
        <w:t>out-group</w:t>
      </w:r>
      <w:r w:rsidRPr="00634221">
        <w:rPr>
          <w:rFonts w:cs="Times New Roman"/>
        </w:rPr>
        <w:t xml:space="preserve"> to explain this phenomenon (Sumner 1906). In short, an in-group is the group that an individual feels he or she belongs to, and believes it to be an integral part of who he or she is. An out-group, conversely, is a group someone doesn’t belong to; often there may be a feeling of disdain or competition in relation to an out-group. Sports teams, unions, and secret societies are examples of in-groups and out-groups; people may belong to, or be an outsider to, any of these.</w:t>
      </w:r>
    </w:p>
    <w:p w:rsidR="00AE0870" w:rsidRPr="00634221" w:rsidRDefault="00AE0870" w:rsidP="00634221">
      <w:pPr>
        <w:pStyle w:val="Standard"/>
        <w:spacing w:before="239"/>
        <w:ind w:firstLine="288"/>
        <w:rPr>
          <w:rFonts w:cs="Times New Roman"/>
        </w:rPr>
      </w:pPr>
      <w:r w:rsidRPr="00634221">
        <w:rPr>
          <w:rFonts w:cs="Times New Roman"/>
        </w:rPr>
        <w:t>While these affiliations can be neutral or even positive, such as the case of a team-sport competition, the concept of in-groups and out-groups can also explain some negative human behaviour, such as white supremacist movements like the Ku Klux Klan, or the bullying of gay or lesbian students. By defining others as “not like us” and inferior, in-groups can end up practicing ethnocentrism, racism, sexism, ageism, and heterosexism—manners of judging others negatively based on their culture, race, sex, age, or sexuality. Often, in-groups can form within a secondary group. For instance, a workplace can have cliques of people, from senior executives who play golf together, to engineers who write code together, to young si</w:t>
      </w:r>
      <w:r w:rsidRPr="00634221">
        <w:rPr>
          <w:rFonts w:cs="Times New Roman"/>
        </w:rPr>
        <w:t>n</w:t>
      </w:r>
      <w:r w:rsidRPr="00634221">
        <w:rPr>
          <w:rFonts w:cs="Times New Roman"/>
        </w:rPr>
        <w:t>gles who socialize after hours. While these in-groups might show favouritism and affinity for other in-group members, the overall organization may be unable or unwilling to acknowledge it. Therefore, it pays to be wary of the politics of in-groups, since members may exclude ot</w:t>
      </w:r>
      <w:r w:rsidRPr="00634221">
        <w:rPr>
          <w:rFonts w:cs="Times New Roman"/>
        </w:rPr>
        <w:t>h</w:t>
      </w:r>
      <w:r w:rsidRPr="00634221">
        <w:rPr>
          <w:rFonts w:cs="Times New Roman"/>
        </w:rPr>
        <w:t>ers as a form of gaining status within the group.</w:t>
      </w:r>
    </w:p>
    <w:p w:rsidR="00AE0870" w:rsidRPr="00634221" w:rsidRDefault="00AE0870" w:rsidP="00634221">
      <w:pPr>
        <w:pStyle w:val="Standard"/>
        <w:rPr>
          <w:rFonts w:cs="Times New Roman"/>
        </w:rPr>
      </w:pPr>
      <w:r w:rsidRPr="00634221">
        <w:rPr>
          <w:rFonts w:cs="Times New Roman"/>
          <w:noProof/>
        </w:rPr>
        <w:lastRenderedPageBreak/>
        <mc:AlternateContent>
          <mc:Choice Requires="wps">
            <w:drawing>
              <wp:anchor distT="0" distB="0" distL="114300" distR="114300" simplePos="0" relativeHeight="251663360" behindDoc="0" locked="0" layoutInCell="1" allowOverlap="1" wp14:anchorId="17F99426" wp14:editId="5CB52C6D">
                <wp:simplePos x="0" y="0"/>
                <wp:positionH relativeFrom="column">
                  <wp:align>center</wp:align>
                </wp:positionH>
                <wp:positionV relativeFrom="paragraph">
                  <wp:posOffset>0</wp:posOffset>
                </wp:positionV>
                <wp:extent cx="5731459" cy="914400"/>
                <wp:effectExtent l="0" t="0" r="2591" b="0"/>
                <wp:wrapTopAndBottom/>
                <wp:docPr id="88" name="Text Box 88"/>
                <wp:cNvGraphicFramePr/>
                <a:graphic xmlns:a="http://schemas.openxmlformats.org/drawingml/2006/main">
                  <a:graphicData uri="http://schemas.microsoft.com/office/word/2010/wordprocessingShape">
                    <wps:wsp>
                      <wps:cNvSpPr txBox="1"/>
                      <wps:spPr>
                        <a:xfrm>
                          <a:off x="0" y="0"/>
                          <a:ext cx="5731459" cy="914400"/>
                        </a:xfrm>
                        <a:prstGeom prst="rect">
                          <a:avLst/>
                        </a:prstGeom>
                        <a:noFill/>
                        <a:ln>
                          <a:noFill/>
                          <a:prstDash/>
                        </a:ln>
                      </wps:spPr>
                      <wps:txbx>
                        <w:txbxContent>
                          <w:p w:rsidR="00AE0870" w:rsidRDefault="00AE0870" w:rsidP="00AE0870">
                            <w:pPr>
                              <w:outlineLvl w:val="1"/>
                            </w:pPr>
                            <w:r>
                              <w:t>Making Connections: the Big Pictures</w:t>
                            </w:r>
                          </w:p>
                          <w:p w:rsidR="00AE0870" w:rsidRDefault="00AE0870" w:rsidP="00AE0870">
                            <w:pPr>
                              <w:outlineLvl w:val="2"/>
                            </w:pPr>
                            <w:r>
                              <w:t>Bullying and Cyberbullying: How Technology Has Changed the Game</w:t>
                            </w:r>
                          </w:p>
                          <w:p w:rsidR="00AE0870" w:rsidRDefault="00AE0870" w:rsidP="00AE0870">
                            <w:pPr>
                              <w:pStyle w:val="Standard"/>
                              <w:spacing w:before="239"/>
                              <w:ind w:firstLine="288"/>
                            </w:pPr>
                            <w:r>
                              <w:t>Most of us know that the old rhyme “sticks and stones may break my bones, but words will never hurt me” is inaccurate. Words can hurt, and never is that more apparent than in i</w:t>
                            </w:r>
                            <w:r>
                              <w:t>n</w:t>
                            </w:r>
                            <w:r>
                              <w:t>stances of bullying. Bullying has always existed, often reaching extreme levels of cruelty in children and young adults. People at these stages of life are especially vulnerable to others’ opinions of them, and they’re deeply invested in their peer groups. Today, technology has ushered in a new era of this dynamic. Cyberbullying is the use of interactive media by one person to torment another, and it is on the rise. Cyberbullying can mean sending threatening texts, harassing someone in a public forum (such as Facebook), hacking someone’s account and pretending to be him or her, posting embarrassing images online, and so on. A study by the Cyberbullying Research Center found that 20 percent of middle-school students admitted to “seriously thinking about committing suicide” as a result of online bullying (Hinduja and Patchin 2010). Whereas bullying face-to-face requires willingness to interact with your vi</w:t>
                            </w:r>
                            <w:r>
                              <w:t>c</w:t>
                            </w:r>
                            <w:r>
                              <w:t>tim, cyberbullying allows bullies to harass others from the privacy of their homes without witnessing the damage firsthand. This form of bullying is particularly dangerous because it’s widely accessible and therefore easier to accomplish.</w:t>
                            </w:r>
                          </w:p>
                          <w:p w:rsidR="00AE0870" w:rsidRDefault="00AE0870" w:rsidP="00AE0870">
                            <w:pPr>
                              <w:pStyle w:val="Standard"/>
                              <w:spacing w:before="239"/>
                              <w:ind w:firstLine="288"/>
                            </w:pPr>
                            <w:r>
                              <w:t>Cyberbullying, and bullying in general, made international headlines in 2012 when a 15-year-old girl, Amanda Todd, in Port Coquitlam, B.C., committed suicide after years of bull</w:t>
                            </w:r>
                            <w:r>
                              <w:t>y</w:t>
                            </w:r>
                            <w:r>
                              <w:t>ing by her peers and internet sexual exploitation. A month before her suicide, she posted a YouTube video in which she recounted her story. It began in grade 7 when she had been lured to reveal her breasts in a webcam photo. A year later, when she refused to give an anonymous male “a show,” the picture was circulated to her friends, family, and contacts on Facebook. Statistics Canada  report that 7 percent of internet users aged 18 and over have been cyberbullied, most commonly (73 percent) by receiving threatening or aggressive emails or text messages. Nine percent of adults who had a child at home aged 8 to 17 reported that at least one of their children had been cyberbullied. Two percent reported that their child had been lured or sexually solicited online (Perreault, 2011).</w:t>
                            </w:r>
                          </w:p>
                          <w:p w:rsidR="00AE0870" w:rsidRDefault="00AE0870" w:rsidP="00AE0870">
                            <w:pPr>
                              <w:pStyle w:val="Standard"/>
                              <w:spacing w:before="239"/>
                              <w:ind w:firstLine="288"/>
                            </w:pPr>
                            <w:r>
                              <w:t>In the aftermath of Amanda Todd’s death, most provinces enacted strict guidelines and codes of conduct obliging schools to respond to cyberbullying and encouraging students to come forward to report victimization.  In 2013, the federal government proposed Bill C-13—the  Protecting Canadians from Online Crime Act–which would make it illegal to share an intimate image of a person without that person’s consent. (Critics however note that the anti-cyberbullying provision in the bill is only a minor measure among many others that expand police powers to surveil all internet activity.) Will these measures change the behaviour of would-be cyberbullies? That remains to be seen. But hopefully communities can work to pr</w:t>
                            </w:r>
                            <w:r>
                              <w:t>o</w:t>
                            </w:r>
                            <w:r>
                              <w:t>tect victims before they feel they must resort to extreme measures.</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88" o:spid="_x0000_s1026" type="#_x0000_t202" style="position:absolute;margin-left:0;margin-top:0;width:451.3pt;height:1in;z-index:251663360;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" filled="f" stroked="f">
                <v:textbox style="mso-fit-shape-to-text:t" inset="0,0,0,0">
                  <w:txbxContent>
                    <w:p w:rsidR="00AE0870" w:rsidRDefault="00AE0870" w:rsidP="00AE0870">
                      <w:pPr>
                        <w:outlineLvl w:val="1"/>
                      </w:pPr>
                      <w:r>
                        <w:t>Making Connections: the Big Pictures</w:t>
                      </w:r>
                    </w:p>
                    <w:p w:rsidR="00AE0870" w:rsidRDefault="00AE0870" w:rsidP="00AE0870">
                      <w:pPr>
                        <w:outlineLvl w:val="2"/>
                      </w:pPr>
                      <w:r>
                        <w:t>Bullying and Cyberbullying: How Technology Has Changed the Game</w:t>
                      </w:r>
                    </w:p>
                    <w:p w:rsidR="00AE0870" w:rsidRDefault="00AE0870" w:rsidP="00AE0870">
                      <w:pPr>
                        <w:pStyle w:val="Standard"/>
                        <w:spacing w:before="239"/>
                        <w:ind w:firstLine="288"/>
                      </w:pPr>
                      <w:r>
                        <w:t>Most of us know that the old rhyme “sticks and stones may break my bones, but words will never hurt me” is inaccurate. Words can hurt, and never is that more apparent than in i</w:t>
                      </w:r>
                      <w:r>
                        <w:t>n</w:t>
                      </w:r>
                      <w:r>
                        <w:t>stances of bullying. Bullying has always existed, often reaching extreme levels of cruelty in children and young adults. People at these stages of life are especially vulnerable to others’ opinions of them, and they’re deeply invested in their peer groups. Today, technology has ushered in a new era of this dynamic. Cyberbullying is the use of interactive media by one person to torment another, and it is on the rise. Cyberbullying can mean sending threatening texts, harassing someone in a public forum (such as Facebook), hacking someone’s account and pretending to be him or her, posting embarrassing images online, and so on. A study by the Cyberbullying Research Center found that 20 percent of middle-school students admitted to “seriously thinking about committing suicide” as a result of online bullying (Hinduja and Patchin 2010). Whereas bullying face-to-face requires willingness to interact with your vi</w:t>
                      </w:r>
                      <w:r>
                        <w:t>c</w:t>
                      </w:r>
                      <w:r>
                        <w:t>tim, cyberbullying allows bullies to harass others from the privacy of their homes without witnessing the damage firsthand. This form of bullying is particularly dangerous because it’s widely accessible and therefore easier to accomplish.</w:t>
                      </w:r>
                    </w:p>
                    <w:p w:rsidR="00AE0870" w:rsidRDefault="00AE0870" w:rsidP="00AE0870">
                      <w:pPr>
                        <w:pStyle w:val="Standard"/>
                        <w:spacing w:before="239"/>
                        <w:ind w:firstLine="288"/>
                      </w:pPr>
                      <w:r>
                        <w:t>Cyberbullying, and bullying in general, made international headlines in 2012 when a 15-year-old girl, Amanda Todd, in Port Coquitlam, B.C., committed suicide after years of bull</w:t>
                      </w:r>
                      <w:r>
                        <w:t>y</w:t>
                      </w:r>
                      <w:r>
                        <w:t>ing by her peers and internet sexual exploitation. A month before her suicide, she posted a YouTube video in which she recounted her story. It began in grade 7 when she had been lured to reveal her breasts in a webcam photo. A year later, when she refused to give an anonymous male “a show,” the picture was circulated to her friends, family, and contacts on Facebook. Statistics Canada  report that 7 percent of internet users aged 18 and over have been cyberbullied, most commonly (73 percent) by receiving threatening or aggressive emails or text messages. Nine percent of adults who had a child at home aged 8 to 17 reported that at least one of their children had been cyberbullied. Two percent reported that their child had been lured or sexually solicited online (Perreault, 2011).</w:t>
                      </w:r>
                    </w:p>
                    <w:p w:rsidR="00AE0870" w:rsidRDefault="00AE0870" w:rsidP="00AE0870">
                      <w:pPr>
                        <w:pStyle w:val="Standard"/>
                        <w:spacing w:before="239"/>
                        <w:ind w:firstLine="288"/>
                      </w:pPr>
                      <w:r>
                        <w:t>In the aftermath of Amanda Todd’s death, most provinces enacted strict guidelines and codes of conduct obliging schools to respond to cyberbullying and encouraging students to come forward to report victimization.  In 2013, the federal government proposed Bill C-13—the  Protecting Canadians from Online Crime Act–which would make it illegal to share an intimate image of a person without that person’s consent. (Critics however note that the anti-cyberbullying provision in the bill is only a minor measure among many others that expand police powers to surveil all internet activity.) Will these measures change the behaviour of would-be cyberbullies? That remains to be seen. But hopefully communities can work to pr</w:t>
                      </w:r>
                      <w:r>
                        <w:t>o</w:t>
                      </w:r>
                      <w:r>
                        <w:t>tect victims before they feel they must resort to extreme measures.</w:t>
                      </w:r>
                    </w:p>
                  </w:txbxContent>
                </v:textbox>
                <w10:wrap type="topAndBottom"/>
              </v:shape>
            </w:pict>
          </mc:Fallback>
        </mc:AlternateContent>
      </w:r>
    </w:p>
    <w:p w:rsidR="00AE0870" w:rsidRPr="00634221" w:rsidRDefault="00AE0870" w:rsidP="00634221">
      <w:pPr>
        <w:pStyle w:val="Standard"/>
        <w:spacing w:before="239"/>
        <w:ind w:firstLine="288"/>
        <w:rPr>
          <w:rFonts w:cs="Times New Roman"/>
        </w:rPr>
      </w:pPr>
    </w:p>
    <w:p w:rsidR="00AE0870" w:rsidRPr="00634221" w:rsidRDefault="00AE0870" w:rsidP="00634221">
      <w:pPr>
        <w:pStyle w:val="Standard"/>
        <w:spacing w:before="239"/>
        <w:ind w:firstLine="288"/>
        <w:rPr>
          <w:rFonts w:cs="Times New Roman"/>
        </w:rPr>
      </w:pPr>
      <w:r w:rsidRPr="00634221">
        <w:rPr>
          <w:rFonts w:cs="Times New Roman"/>
        </w:rPr>
        <w:t> </w:t>
      </w:r>
    </w:p>
    <w:p w:rsidR="00AE0870" w:rsidRPr="00634221" w:rsidRDefault="00634221" w:rsidP="00634221">
      <w:pPr>
        <w:pStyle w:val="Standard"/>
        <w:spacing w:before="120" w:after="120"/>
        <w:outlineLvl w:val="2"/>
        <w:rPr>
          <w:rFonts w:cs="Times New Roman"/>
          <w:b/>
        </w:rPr>
        <w:sectPr w:rsidR="00AE0870" w:rsidRPr="00634221">
          <w:type w:val="continuous"/>
          <w:pgSz w:w="11906" w:h="16838"/>
          <w:pgMar w:top="1440" w:right="1440" w:bottom="1440" w:left="1440" w:header="720" w:footer="720" w:gutter="0"/>
          <w:cols w:space="720"/>
        </w:sectPr>
      </w:pPr>
      <w:r>
        <w:rPr>
          <w:rFonts w:cs="Times New Roman"/>
          <w:b/>
        </w:rPr>
        <w:lastRenderedPageBreak/>
        <w:t>Reference Groups</w:t>
      </w:r>
    </w:p>
    <w:p w:rsidR="00AE0870" w:rsidRPr="00634221" w:rsidRDefault="00AE0870" w:rsidP="00634221">
      <w:pPr>
        <w:rPr>
          <w:rFonts w:cs="Times New Roman"/>
        </w:rPr>
        <w:sectPr w:rsidR="00AE0870" w:rsidRPr="00634221">
          <w:type w:val="continuous"/>
          <w:pgSz w:w="11906" w:h="16838"/>
          <w:pgMar w:top="1440" w:right="1440" w:bottom="1440" w:left="1440" w:header="720" w:footer="720" w:gutter="0"/>
          <w:cols w:space="720"/>
        </w:sectPr>
      </w:pPr>
    </w:p>
    <w:p w:rsidR="00AE0870" w:rsidRPr="00634221" w:rsidRDefault="00AE0870" w:rsidP="00634221">
      <w:pPr>
        <w:pStyle w:val="Standard"/>
        <w:spacing w:before="239"/>
        <w:rPr>
          <w:rFonts w:cs="Times New Roman"/>
        </w:rPr>
      </w:pPr>
      <w:r w:rsidRPr="00634221">
        <w:rPr>
          <w:rFonts w:cs="Times New Roman"/>
        </w:rPr>
        <w:lastRenderedPageBreak/>
        <w:t xml:space="preserve">A </w:t>
      </w:r>
      <w:r w:rsidRPr="00634221">
        <w:rPr>
          <w:rStyle w:val="bold"/>
          <w:rFonts w:cs="Times New Roman"/>
        </w:rPr>
        <w:t>reference group</w:t>
      </w:r>
      <w:r w:rsidRPr="00634221">
        <w:rPr>
          <w:rFonts w:cs="Times New Roman"/>
        </w:rPr>
        <w:t xml:space="preserve"> is a group that people compare themselves to—it provides a standard of measurement. In Canadian society, peer groups are common reference groups. Children, teens, and adults pay attention to what their peers wear, what music they like, what they do with their free time—and they compare themselves to what they see. Most people have more than one reference group, so a middle-school boy might look not only at his classmates but also at his older brother’s friends and see a different set of norms. And he might observe the antics of his favourite athletes for yet another set of behaviours.</w:t>
      </w:r>
    </w:p>
    <w:p w:rsidR="00AE0870" w:rsidRPr="00634221" w:rsidRDefault="00AE0870" w:rsidP="00634221">
      <w:pPr>
        <w:pStyle w:val="Standard"/>
        <w:spacing w:before="239"/>
        <w:ind w:firstLine="288"/>
        <w:rPr>
          <w:rFonts w:cs="Times New Roman"/>
        </w:rPr>
      </w:pPr>
      <w:r w:rsidRPr="00634221">
        <w:rPr>
          <w:rFonts w:cs="Times New Roman"/>
        </w:rPr>
        <w:t>Some other examples of reference groups can be one’s church, synagogue, or mosque; one’s cultural centre, workplace, or family gathering; and even one’s parents. Often, refe</w:t>
      </w:r>
      <w:r w:rsidRPr="00634221">
        <w:rPr>
          <w:rFonts w:cs="Times New Roman"/>
        </w:rPr>
        <w:t>r</w:t>
      </w:r>
      <w:r w:rsidRPr="00634221">
        <w:rPr>
          <w:rFonts w:cs="Times New Roman"/>
        </w:rPr>
        <w:t>ence groups convey competing messages. For instance, on television and in movies, young adults often have wonderful apartments, cars, and lively social lives despite not holding a job. In music videos, young women might dance and sing in a sexually aggressive way that su</w:t>
      </w:r>
      <w:r w:rsidRPr="00634221">
        <w:rPr>
          <w:rFonts w:cs="Times New Roman"/>
        </w:rPr>
        <w:t>g</w:t>
      </w:r>
      <w:r w:rsidRPr="00634221">
        <w:rPr>
          <w:rFonts w:cs="Times New Roman"/>
        </w:rPr>
        <w:t>gests experience beyond their years. At all ages, we use reference groups to help guide our behaviour and show us social norms. So how important is it to surround yourself with pos</w:t>
      </w:r>
      <w:r w:rsidRPr="00634221">
        <w:rPr>
          <w:rFonts w:cs="Times New Roman"/>
        </w:rPr>
        <w:t>i</w:t>
      </w:r>
      <w:r w:rsidRPr="00634221">
        <w:rPr>
          <w:rFonts w:cs="Times New Roman"/>
        </w:rPr>
        <w:t>tive reference groups? You may never meet or know a reference group, but it still impacts and influences how you act. Identifying reference groups can help you understand the source of the social identities you aspire to or want to distance yourself from.</w:t>
      </w:r>
    </w:p>
    <w:p w:rsidR="00AE0870" w:rsidRPr="00634221" w:rsidRDefault="00AE0870" w:rsidP="00634221">
      <w:pPr>
        <w:pStyle w:val="Standard"/>
        <w:rPr>
          <w:rFonts w:cs="Times New Roman"/>
        </w:rPr>
      </w:pPr>
      <w:r w:rsidRPr="00634221">
        <w:rPr>
          <w:rFonts w:cs="Times New Roman"/>
          <w:noProof/>
        </w:rPr>
        <w:lastRenderedPageBreak/>
        <mc:AlternateContent>
          <mc:Choice Requires="wps">
            <w:drawing>
              <wp:anchor distT="0" distB="0" distL="114300" distR="114300" simplePos="0" relativeHeight="251665408" behindDoc="0" locked="0" layoutInCell="1" allowOverlap="1" wp14:anchorId="13DD12AE" wp14:editId="232266CB">
                <wp:simplePos x="0" y="0"/>
                <wp:positionH relativeFrom="column">
                  <wp:align>center</wp:align>
                </wp:positionH>
                <wp:positionV relativeFrom="paragraph">
                  <wp:posOffset>0</wp:posOffset>
                </wp:positionV>
                <wp:extent cx="5731459" cy="914400"/>
                <wp:effectExtent l="0" t="0" r="2591" b="0"/>
                <wp:wrapTopAndBottom/>
                <wp:docPr id="91" name="Text Box 91"/>
                <wp:cNvGraphicFramePr/>
                <a:graphic xmlns:a="http://schemas.openxmlformats.org/drawingml/2006/main">
                  <a:graphicData uri="http://schemas.microsoft.com/office/word/2010/wordprocessingShape">
                    <wps:wsp>
                      <wps:cNvSpPr txBox="1"/>
                      <wps:spPr>
                        <a:xfrm>
                          <a:off x="0" y="0"/>
                          <a:ext cx="5731459" cy="914400"/>
                        </a:xfrm>
                        <a:prstGeom prst="rect">
                          <a:avLst/>
                        </a:prstGeom>
                        <a:noFill/>
                        <a:ln>
                          <a:noFill/>
                          <a:prstDash/>
                        </a:ln>
                      </wps:spPr>
                      <wps:txbx>
                        <w:txbxContent>
                          <w:p w:rsidR="00AE0870" w:rsidRDefault="00AE0870" w:rsidP="00AE0870">
                            <w:pPr>
                              <w:outlineLvl w:val="1"/>
                            </w:pPr>
                            <w:r>
                              <w:t>Making Connections: Sociology in the Real World</w:t>
                            </w:r>
                          </w:p>
                          <w:p w:rsidR="00AE0870" w:rsidRDefault="00AE0870" w:rsidP="00AE0870">
                            <w:pPr>
                              <w:outlineLvl w:val="2"/>
                            </w:pPr>
                            <w:r>
                              <w:t>University: A World of In-Groups, Out-Groups, and Reference Groups</w:t>
                            </w:r>
                          </w:p>
                          <w:p w:rsidR="00AE0870" w:rsidRDefault="00AE0870" w:rsidP="00AE0870">
                            <w:pPr>
                              <w:pStyle w:val="Standard"/>
                            </w:pPr>
                          </w:p>
                          <w:p w:rsidR="00AE0870" w:rsidRDefault="00AE0870" w:rsidP="00AE0870">
                            <w:r>
                              <w:rPr>
                                <w:noProof/>
                              </w:rPr>
                              <w:drawing>
                                <wp:inline distT="0" distB="0" distL="0" distR="0" wp14:anchorId="0E94D15F" wp14:editId="7E30E3BA">
                                  <wp:extent cx="3810000" cy="2543175"/>
                                  <wp:effectExtent l="19050" t="19050" r="19050" b="28575"/>
                                  <wp:docPr id="90" name="Picture 1" title="Figure_06_01_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10000" cy="2543175"/>
                                          </a:xfrm>
                                          <a:prstGeom prst="rect">
                                            <a:avLst/>
                                          </a:prstGeom>
                                          <a:solidFill>
                                            <a:srgbClr val="4F81BD"/>
                                          </a:solidFill>
                                          <a:ln w="25402">
                                            <a:solidFill>
                                              <a:srgbClr val="385D8A"/>
                                            </a:solidFill>
                                            <a:prstDash val="solid"/>
                                          </a:ln>
                                        </pic:spPr>
                                      </pic:pic>
                                    </a:graphicData>
                                  </a:graphic>
                                </wp:inline>
                              </w:drawing>
                            </w:r>
                            <w:r>
                              <w:t>Figure 6.5. Which university club would you fit into, if any? Campus club recruitment day offers students an opportunity to learn about these different groups. (Photo courtesy of Murray State/flickr)</w:t>
                            </w:r>
                          </w:p>
                          <w:p w:rsidR="00AE0870" w:rsidRDefault="00AE0870" w:rsidP="00AE0870">
                            <w:pPr>
                              <w:pStyle w:val="Standard"/>
                              <w:spacing w:before="239"/>
                              <w:ind w:firstLine="288"/>
                            </w:pPr>
                            <w:r>
                              <w:t>For a student entering university, the sociological study of groups takes on an immediate and practical meaning. After all, when we arrive someplace new, most of us look around to see how well we fit in or stand out in the ways we want. This is a natural response to a refe</w:t>
                            </w:r>
                            <w:r>
                              <w:t>r</w:t>
                            </w:r>
                            <w:r>
                              <w:t>ence group, and on a large campus, there can be many competing groups. Say you are a strong athlete who wants to play intramural sports, but your favourite musicians are a local punk band. You may find yourself engaged with two very different reference groups.</w:t>
                            </w:r>
                          </w:p>
                          <w:p w:rsidR="00AE0870" w:rsidRDefault="00AE0870" w:rsidP="00AE0870">
                            <w:pPr>
                              <w:pStyle w:val="Standard"/>
                              <w:spacing w:before="239"/>
                              <w:ind w:firstLine="288"/>
                            </w:pPr>
                            <w:r>
                              <w:t>These reference groups can also become your in-groups or out-groups. For instance, di</w:t>
                            </w:r>
                            <w:r>
                              <w:t>f</w:t>
                            </w:r>
                            <w:r>
                              <w:t>ferent groups on campus might solicit you to join. Are there student-union-sponsored clubs at your school? Is there a club day when the student clubs set up tables and displays? The sp</w:t>
                            </w:r>
                            <w:r>
                              <w:t>e</w:t>
                            </w:r>
                            <w:r>
                              <w:t>lunking club, the Aikido club, the square dance club, the Conservative Party club, the Green Party club, the chess club, the jazz club, the kayak club, the tightrope walkers club, the peace and disarmament club, the French club, the young women in business club—enumerable clubs will try to convince students to join them. While most clubs are pretty casual, along with a shared interest comes many subtle cues about what sorts of people will fit in and what sorts will not. While most campus groups refrain from insulting competing groups, there is a definite sense of an in-group versus an out-group. “Them?” a member might say, “They’re all right, but they are pretty geeky.” Or, “Only really straight people join that group.” This i</w:t>
                            </w:r>
                            <w:r>
                              <w:t>m</w:t>
                            </w:r>
                            <w:r>
                              <w:t>mediate categorization into in-groups and out-groups means that students must choose car</w:t>
                            </w:r>
                            <w:r>
                              <w:t>e</w:t>
                            </w:r>
                            <w:r>
                              <w:t>fully, since whatever group they associate with will not just define their friends—it may also define types of people with whom they will not associate.</w:t>
                            </w:r>
                          </w:p>
                        </w:txbxContent>
                      </wps:txbx>
                      <wps:bodyPr lIns="0" tIns="0" rIns="0" bIns="0">
                        <a:spAutoFit/>
                      </wps:bodyPr>
                    </wps:wsp>
                  </a:graphicData>
                </a:graphic>
              </wp:anchor>
            </w:drawing>
          </mc:Choice>
          <mc:Fallback>
            <w:pict>
              <v:shape id="Text Box 91" o:spid="_x0000_s1027" type="#_x0000_t202" style="position:absolute;margin-left:0;margin-top:0;width:451.3pt;height:1in;z-index:251665408;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" filled="f" stroked="f">
                <v:textbox style="mso-fit-shape-to-text:t" inset="0,0,0,0">
                  <w:txbxContent>
                    <w:p w:rsidR="00AE0870" w:rsidRDefault="00AE0870" w:rsidP="00AE0870">
                      <w:pPr>
                        <w:outlineLvl w:val="1"/>
                      </w:pPr>
                      <w:r>
                        <w:t>Making Connections: Sociology in the Real World</w:t>
                      </w:r>
                    </w:p>
                    <w:p w:rsidR="00AE0870" w:rsidRDefault="00AE0870" w:rsidP="00AE0870">
                      <w:pPr>
                        <w:outlineLvl w:val="2"/>
                      </w:pPr>
                      <w:r>
                        <w:t>University: A World of In-Groups, Out-Groups, and Reference Groups</w:t>
                      </w:r>
                    </w:p>
                    <w:p w:rsidR="00AE0870" w:rsidRDefault="00AE0870" w:rsidP="00AE0870">
                      <w:pPr>
                        <w:pStyle w:val="Standard"/>
                      </w:pPr>
                    </w:p>
                    <w:p w:rsidR="00AE0870" w:rsidRDefault="00AE0870" w:rsidP="00AE0870">
                      <w:r>
                        <w:rPr>
                          <w:noProof/>
                        </w:rPr>
                        <w:drawing>
                          <wp:inline distT="0" distB="0" distL="0" distR="0" wp14:anchorId="0E94D15F" wp14:editId="7E30E3BA">
                            <wp:extent cx="3810000" cy="2543175"/>
                            <wp:effectExtent l="19050" t="19050" r="19050" b="28575"/>
                            <wp:docPr id="90" name="Picture 1" title="Figure_06_01_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10000" cy="2543175"/>
                                    </a:xfrm>
                                    <a:prstGeom prst="rect">
                                      <a:avLst/>
                                    </a:prstGeom>
                                    <a:solidFill>
                                      <a:srgbClr val="4F81BD"/>
                                    </a:solidFill>
                                    <a:ln w="25402">
                                      <a:solidFill>
                                        <a:srgbClr val="385D8A"/>
                                      </a:solidFill>
                                      <a:prstDash val="solid"/>
                                    </a:ln>
                                  </pic:spPr>
                                </pic:pic>
                              </a:graphicData>
                            </a:graphic>
                          </wp:inline>
                        </w:drawing>
                      </w:r>
                      <w:r>
                        <w:t>Figure 6.5. Which university club would you fit into, if any? Campus club recruitment day offers students an opportunity to learn about these different groups. (Photo courtesy of Murray State/flickr)</w:t>
                      </w:r>
                    </w:p>
                    <w:p w:rsidR="00AE0870" w:rsidRDefault="00AE0870" w:rsidP="00AE0870">
                      <w:pPr>
                        <w:pStyle w:val="Standard"/>
                        <w:spacing w:before="239"/>
                        <w:ind w:firstLine="288"/>
                      </w:pPr>
                      <w:r>
                        <w:t>For a student entering university, the sociological study of groups takes on an immediate and practical meaning. After all, when we arrive someplace new, most of us look around to see how well we fit in or stand out in the ways we want. This is a natural response to a refe</w:t>
                      </w:r>
                      <w:r>
                        <w:t>r</w:t>
                      </w:r>
                      <w:r>
                        <w:t>ence group, and on a large campus, there can be many competing groups. Say you are a strong athlete who wants to play intramural sports, but your favourite musicians are a local punk band. You may find yourself engaged with two very different reference groups.</w:t>
                      </w:r>
                    </w:p>
                    <w:p w:rsidR="00AE0870" w:rsidRDefault="00AE0870" w:rsidP="00AE0870">
                      <w:pPr>
                        <w:pStyle w:val="Standard"/>
                        <w:spacing w:before="239"/>
                        <w:ind w:firstLine="288"/>
                      </w:pPr>
                      <w:r>
                        <w:t>These reference groups can also become your in-groups or out-groups. For instance, di</w:t>
                      </w:r>
                      <w:r>
                        <w:t>f</w:t>
                      </w:r>
                      <w:r>
                        <w:t>ferent groups on campus might solicit you to join. Are there student-union-sponsored clubs at your school? Is there a club day when the student clubs set up tables and displays? The sp</w:t>
                      </w:r>
                      <w:r>
                        <w:t>e</w:t>
                      </w:r>
                      <w:r>
                        <w:t>lunking club, the Aikido club, the square dance club, the Conservative Party club, the Green Party club, the chess club, the jazz club, the kayak club, the tightrope walkers club, the peace and disarmament club, the French club, the young women in business club—enumerable clubs will try to convince students to join them. While most clubs are pretty casual, along with a shared interest comes many subtle cues about what sorts of people will fit in and what sorts will not. While most campus groups refrain from insulting competing groups, there is a definite sense of an in-group versus an out-group. “Them?” a member might say, “They’re all right, but they are pretty geeky.” Or, “Only really straight people join that group.” This i</w:t>
                      </w:r>
                      <w:r>
                        <w:t>m</w:t>
                      </w:r>
                      <w:r>
                        <w:t>mediate categorization into in-groups and out-groups means that students must choose car</w:t>
                      </w:r>
                      <w:r>
                        <w:t>e</w:t>
                      </w:r>
                      <w:r>
                        <w:t>fully, since whatever group they associate with will not just define their friends—it may also define types of people with whom they will not associate.</w:t>
                      </w:r>
                    </w:p>
                  </w:txbxContent>
                </v:textbox>
                <w10:wrap type="topAndBottom"/>
              </v:shape>
            </w:pict>
          </mc:Fallback>
        </mc:AlternateContent>
      </w:r>
    </w:p>
    <w:p w:rsidR="00AE0870" w:rsidRPr="00634221" w:rsidRDefault="00AE0870" w:rsidP="00634221">
      <w:pPr>
        <w:pStyle w:val="Standard"/>
        <w:spacing w:before="239"/>
        <w:ind w:firstLine="288"/>
        <w:rPr>
          <w:rFonts w:cs="Times New Roman"/>
        </w:rPr>
      </w:pPr>
      <w:r w:rsidRPr="00634221">
        <w:rPr>
          <w:rFonts w:cs="Times New Roman"/>
        </w:rPr>
        <w:t> </w:t>
      </w:r>
    </w:p>
    <w:p w:rsidR="00AE0870" w:rsidRPr="00634221" w:rsidRDefault="00AE0870" w:rsidP="00634221">
      <w:pPr>
        <w:pStyle w:val="Standard"/>
        <w:spacing w:before="120" w:after="120"/>
        <w:outlineLvl w:val="1"/>
        <w:rPr>
          <w:rFonts w:cs="Times New Roman"/>
          <w:b/>
        </w:rPr>
      </w:pPr>
      <w:bookmarkStart w:id="1" w:name="section6.2."/>
      <w:bookmarkEnd w:id="1"/>
    </w:p>
    <w:p w:rsidR="00AE0870" w:rsidRPr="00634221" w:rsidRDefault="00AE0870" w:rsidP="00634221">
      <w:pPr>
        <w:pStyle w:val="Standard"/>
        <w:spacing w:before="120" w:after="120"/>
        <w:outlineLvl w:val="1"/>
        <w:rPr>
          <w:rFonts w:cs="Times New Roman"/>
          <w:b/>
        </w:rPr>
        <w:sectPr w:rsidR="00AE0870" w:rsidRPr="00634221">
          <w:type w:val="continuous"/>
          <w:pgSz w:w="11906" w:h="16838"/>
          <w:pgMar w:top="1440" w:right="1440" w:bottom="1440" w:left="1440" w:header="720" w:footer="720" w:gutter="0"/>
          <w:cols w:space="720"/>
        </w:sectPr>
      </w:pPr>
      <w:r w:rsidRPr="00634221">
        <w:rPr>
          <w:rFonts w:cs="Times New Roman"/>
          <w:b/>
        </w:rPr>
        <w:lastRenderedPageBreak/>
        <w:t> </w:t>
      </w:r>
      <w:r w:rsidR="00634221">
        <w:rPr>
          <w:rFonts w:cs="Times New Roman"/>
          <w:b/>
        </w:rPr>
        <w:t xml:space="preserve">2. </w:t>
      </w:r>
      <w:r w:rsidRPr="00634221">
        <w:rPr>
          <w:rFonts w:cs="Times New Roman"/>
          <w:b/>
        </w:rPr>
        <w:t>Groups and Networks</w:t>
      </w:r>
    </w:p>
    <w:p w:rsidR="00AE0870" w:rsidRPr="00634221" w:rsidRDefault="00AE0870" w:rsidP="00634221">
      <w:pPr>
        <w:rPr>
          <w:rFonts w:cs="Times New Roman"/>
        </w:rPr>
        <w:sectPr w:rsidR="00AE0870" w:rsidRPr="00634221">
          <w:type w:val="continuous"/>
          <w:pgSz w:w="11906" w:h="16838"/>
          <w:pgMar w:top="1440" w:right="1440" w:bottom="1440" w:left="1440" w:header="720" w:footer="720" w:gutter="0"/>
          <w:cols w:space="720"/>
        </w:sectPr>
      </w:pPr>
    </w:p>
    <w:p w:rsidR="00AE0870" w:rsidRPr="00634221" w:rsidRDefault="00AE0870" w:rsidP="00634221">
      <w:pPr>
        <w:pStyle w:val="Standard"/>
        <w:spacing w:before="120" w:after="120"/>
        <w:outlineLvl w:val="2"/>
        <w:rPr>
          <w:rFonts w:cs="Times New Roman"/>
          <w:b/>
        </w:rPr>
      </w:pPr>
      <w:r w:rsidRPr="00634221">
        <w:rPr>
          <w:rFonts w:cs="Times New Roman"/>
          <w:b/>
        </w:rPr>
        <w:lastRenderedPageBreak/>
        <w:t>Dyads, Triads, and Social Networks</w:t>
      </w:r>
    </w:p>
    <w:p w:rsidR="00AE0870" w:rsidRPr="00634221" w:rsidRDefault="00AE0870" w:rsidP="00634221">
      <w:pPr>
        <w:pStyle w:val="Standard"/>
        <w:spacing w:before="239"/>
        <w:ind w:firstLine="288"/>
        <w:rPr>
          <w:rFonts w:cs="Times New Roman"/>
        </w:rPr>
      </w:pPr>
      <w:r w:rsidRPr="00634221">
        <w:rPr>
          <w:rFonts w:cs="Times New Roman"/>
        </w:rPr>
        <w:t xml:space="preserve">A small group is typically one where the collection of people is small enough that all members of the group know each other and share simultaneous interaction, such as a nuclear family, a dyad, or a triad. Georg Simmel wrote extensively about the difference between a  </w:t>
      </w:r>
      <w:r w:rsidRPr="00634221">
        <w:rPr>
          <w:rStyle w:val="bold"/>
          <w:rFonts w:cs="Times New Roman"/>
        </w:rPr>
        <w:t>dyad</w:t>
      </w:r>
      <w:r w:rsidRPr="00634221">
        <w:rPr>
          <w:rFonts w:cs="Times New Roman"/>
        </w:rPr>
        <w:t xml:space="preserve">, or two-member group, and a  </w:t>
      </w:r>
      <w:r w:rsidRPr="00634221">
        <w:rPr>
          <w:rStyle w:val="bold"/>
          <w:rFonts w:cs="Times New Roman"/>
        </w:rPr>
        <w:t>triad</w:t>
      </w:r>
      <w:r w:rsidRPr="00634221">
        <w:rPr>
          <w:rFonts w:cs="Times New Roman"/>
        </w:rPr>
        <w:t>, a three-member group (Simmel 1902 (1950)). No matter what the content of the groups is—business, friendship, family, teamwork, etc.—the dynamic or formal qualities of the groups differ simply by virtue of the number of ind</w:t>
      </w:r>
      <w:r w:rsidRPr="00634221">
        <w:rPr>
          <w:rFonts w:cs="Times New Roman"/>
        </w:rPr>
        <w:t>i</w:t>
      </w:r>
      <w:r w:rsidRPr="00634221">
        <w:rPr>
          <w:rFonts w:cs="Times New Roman"/>
        </w:rPr>
        <w:t>viduals involved. In a dyad, if one person withdraws, the group can no longer exist. Examples include a divorce, which effectively ends the “group” of the married couple, or two best friends never speaking again. Neither of the two members can hide what he or she has done behind the group, nor hold the group responsible for what he or she has failed to do.</w:t>
      </w:r>
    </w:p>
    <w:p w:rsidR="00AE0870" w:rsidRPr="00634221" w:rsidRDefault="00AE0870" w:rsidP="00634221">
      <w:pPr>
        <w:pStyle w:val="Standard"/>
        <w:spacing w:before="239"/>
        <w:ind w:firstLine="288"/>
        <w:rPr>
          <w:rFonts w:cs="Times New Roman"/>
        </w:rPr>
      </w:pPr>
      <w:r w:rsidRPr="00634221">
        <w:rPr>
          <w:rFonts w:cs="Times New Roman"/>
        </w:rPr>
        <w:t>In a triad, however, the dynamic is quite different. If one person withdraws, the group lives on. A triad has a different set of relationships. If there are three in the group, two-against-one dynamics can develop and the potential exists for a majority opinion on any i</w:t>
      </w:r>
      <w:r w:rsidRPr="00634221">
        <w:rPr>
          <w:rFonts w:cs="Times New Roman"/>
        </w:rPr>
        <w:t>s</w:t>
      </w:r>
      <w:r w:rsidRPr="00634221">
        <w:rPr>
          <w:rFonts w:cs="Times New Roman"/>
        </w:rPr>
        <w:t>sue. At the same time, the relationships in a triad cannot be as close as in a dyad because a third person always intrudes. Where a group of two is both closer and more unstable than a group of three, because it rests on the immediate, ongoing reciprocity of the two members, a group of three is able to attain a sense of super-personal life, independent of the members.</w:t>
      </w:r>
    </w:p>
    <w:p w:rsidR="00AE0870" w:rsidRPr="00634221" w:rsidRDefault="00AE0870" w:rsidP="00634221">
      <w:pPr>
        <w:pStyle w:val="Standard"/>
        <w:spacing w:before="239"/>
        <w:ind w:firstLine="288"/>
        <w:rPr>
          <w:rFonts w:cs="Times New Roman"/>
        </w:rPr>
      </w:pPr>
      <w:r w:rsidRPr="00634221">
        <w:rPr>
          <w:rFonts w:cs="Times New Roman"/>
        </w:rPr>
        <w:t xml:space="preserve">The difference between a dyad and a triad is an example of network analysis. A </w:t>
      </w:r>
      <w:r w:rsidRPr="00634221">
        <w:rPr>
          <w:rStyle w:val="bold"/>
          <w:rFonts w:cs="Times New Roman"/>
        </w:rPr>
        <w:t>social network</w:t>
      </w:r>
      <w:r w:rsidRPr="00634221">
        <w:rPr>
          <w:rFonts w:cs="Times New Roman"/>
        </w:rPr>
        <w:t> is a collection of people tied together by a specific configuration of connections. They can be characterized by the number of people involved, as in the dyad and triad, but a</w:t>
      </w:r>
      <w:r w:rsidRPr="00634221">
        <w:rPr>
          <w:rFonts w:cs="Times New Roman"/>
        </w:rPr>
        <w:t>l</w:t>
      </w:r>
      <w:r w:rsidRPr="00634221">
        <w:rPr>
          <w:rFonts w:cs="Times New Roman"/>
        </w:rPr>
        <w:t xml:space="preserve">so in terms of their </w:t>
      </w:r>
      <w:r w:rsidRPr="00634221">
        <w:rPr>
          <w:rStyle w:val="italic"/>
          <w:rFonts w:cs="Times New Roman"/>
        </w:rPr>
        <w:t>structures</w:t>
      </w:r>
      <w:r w:rsidRPr="00634221">
        <w:rPr>
          <w:rFonts w:cs="Times New Roman"/>
        </w:rPr>
        <w:t xml:space="preserve"> (who is connected to whom) and </w:t>
      </w:r>
      <w:r w:rsidRPr="00634221">
        <w:rPr>
          <w:rStyle w:val="italic"/>
          <w:rFonts w:cs="Times New Roman"/>
        </w:rPr>
        <w:t>functions</w:t>
      </w:r>
      <w:r w:rsidRPr="00634221">
        <w:rPr>
          <w:rFonts w:cs="Times New Roman"/>
        </w:rPr>
        <w:t xml:space="preserve"> (what flows across ties). The particular configurations of the connections determine how networks are able to do more things and different things than individuals acting on their own could. Networks have this effect, regardless of the content of the connections or persons involved.</w:t>
      </w:r>
    </w:p>
    <w:p w:rsidR="00AE0870" w:rsidRPr="00634221" w:rsidRDefault="00AE0870" w:rsidP="00634221">
      <w:pPr>
        <w:pStyle w:val="Standard"/>
        <w:spacing w:before="239"/>
        <w:ind w:firstLine="288"/>
        <w:rPr>
          <w:rFonts w:cs="Times New Roman"/>
        </w:rPr>
      </w:pPr>
      <w:r w:rsidRPr="00634221">
        <w:rPr>
          <w:rFonts w:cs="Times New Roman"/>
        </w:rPr>
        <w:t xml:space="preserve">For example, if one person phones 50 people one after the other to see who could come out to play ball hockey on Wednesday night, it would take a long time to work through the phone list. The </w:t>
      </w:r>
      <w:r w:rsidRPr="00634221">
        <w:rPr>
          <w:rStyle w:val="italic"/>
          <w:rFonts w:cs="Times New Roman"/>
        </w:rPr>
        <w:t>structure</w:t>
      </w:r>
      <w:r w:rsidRPr="00634221">
        <w:rPr>
          <w:rFonts w:cs="Times New Roman"/>
        </w:rPr>
        <w:t xml:space="preserve"> of the network would be one in which the telephone caller has an individual connection with each of the 50 players, but the players themselves do not nece</w:t>
      </w:r>
      <w:r w:rsidRPr="00634221">
        <w:rPr>
          <w:rFonts w:cs="Times New Roman"/>
        </w:rPr>
        <w:t>s</w:t>
      </w:r>
      <w:r w:rsidRPr="00634221">
        <w:rPr>
          <w:rFonts w:cs="Times New Roman"/>
        </w:rPr>
        <w:t>sarily have any connections with each other. There is only one node in the network. On the other hand, if the telephone caller phones five key (or nodal) individuals, who would then call five individuals, and so on, then the telephone calling would be accomplished much more quickly. A telephone tree like this has a different network structure than the single telephone caller model does and can therefore accomplish the task much more efficiently and quickly. Of course the responsibility is also shared so there are more opportunities for the communic</w:t>
      </w:r>
      <w:r w:rsidRPr="00634221">
        <w:rPr>
          <w:rFonts w:cs="Times New Roman"/>
        </w:rPr>
        <w:t>a</w:t>
      </w:r>
      <w:r w:rsidRPr="00634221">
        <w:rPr>
          <w:rFonts w:cs="Times New Roman"/>
        </w:rPr>
        <w:t>tion network to break down.</w:t>
      </w:r>
    </w:p>
    <w:p w:rsidR="00AE0870" w:rsidRPr="00634221" w:rsidRDefault="00AE0870" w:rsidP="00634221">
      <w:pPr>
        <w:pStyle w:val="Standard"/>
        <w:spacing w:before="239"/>
        <w:ind w:firstLine="288"/>
        <w:rPr>
          <w:rFonts w:cs="Times New Roman"/>
        </w:rPr>
      </w:pPr>
      <w:r w:rsidRPr="00634221">
        <w:rPr>
          <w:rFonts w:cs="Times New Roman"/>
        </w:rPr>
        <w:lastRenderedPageBreak/>
        <w:t>Network analysis is interesting because much of social life can be understood as operating outside of either formal organizations or traditional group structures. Social media like Twi</w:t>
      </w:r>
      <w:r w:rsidRPr="00634221">
        <w:rPr>
          <w:rFonts w:cs="Times New Roman"/>
        </w:rPr>
        <w:t>t</w:t>
      </w:r>
      <w:r w:rsidRPr="00634221">
        <w:rPr>
          <w:rFonts w:cs="Times New Roman"/>
        </w:rPr>
        <w:t>ter or Facebook connect people through networks. One’s posts are seen by friends, but also by friends of friends. The revolution in Tunisia in 2010–2011 was aided by social media ne</w:t>
      </w:r>
      <w:r w:rsidRPr="00634221">
        <w:rPr>
          <w:rFonts w:cs="Times New Roman"/>
        </w:rPr>
        <w:t>t</w:t>
      </w:r>
      <w:r w:rsidRPr="00634221">
        <w:rPr>
          <w:rFonts w:cs="Times New Roman"/>
        </w:rPr>
        <w:t>works, which were able to disseminate an accurate, or alternate, account of the events as they unfolded, even while the official media characterized the unrest as vandalism and terrorism (Zuckerman 2011). On the other hand, military counterinsurgency strategies trace cell phone connections to model the networks of insurgents in asymmetrical or guerilla warfare. I</w:t>
      </w:r>
      <w:r w:rsidRPr="00634221">
        <w:rPr>
          <w:rFonts w:cs="Times New Roman"/>
        </w:rPr>
        <w:t>n</w:t>
      </w:r>
      <w:r w:rsidRPr="00634221">
        <w:rPr>
          <w:rFonts w:cs="Times New Roman"/>
        </w:rPr>
        <w:t>creased network densities indicate the ability of insurgents to mount coordinated attacks (D</w:t>
      </w:r>
      <w:r w:rsidRPr="00634221">
        <w:rPr>
          <w:rFonts w:cs="Times New Roman"/>
        </w:rPr>
        <w:t>e</w:t>
      </w:r>
      <w:r w:rsidRPr="00634221">
        <w:rPr>
          <w:rFonts w:cs="Times New Roman"/>
        </w:rPr>
        <w:t>partment of the Army 2006). The amorphous nature of global capital and the formation of a global capitalist class consciousness can also be analyzed by mapping interlocking dire</w:t>
      </w:r>
      <w:r w:rsidRPr="00634221">
        <w:rPr>
          <w:rFonts w:cs="Times New Roman"/>
        </w:rPr>
        <w:t>c</w:t>
      </w:r>
      <w:r w:rsidRPr="00634221">
        <w:rPr>
          <w:rFonts w:cs="Times New Roman"/>
        </w:rPr>
        <w:t>torates; namely, the way institutionalized social networks are established between banks and corporations in different parts of the world through shared board members (Carroll 2010).</w:t>
      </w:r>
    </w:p>
    <w:p w:rsidR="00AE0870" w:rsidRPr="00634221" w:rsidRDefault="00AE0870" w:rsidP="00634221">
      <w:pPr>
        <w:pStyle w:val="Standard"/>
        <w:spacing w:before="239"/>
        <w:ind w:firstLine="288"/>
        <w:rPr>
          <w:rFonts w:cs="Times New Roman"/>
        </w:rPr>
      </w:pPr>
      <w:r w:rsidRPr="00634221">
        <w:rPr>
          <w:rFonts w:cs="Times New Roman"/>
        </w:rPr>
        <w:t>Christakis and Fowler (2009) argue that social networks are influential in a wide range of social aspects of life including political opinions, weight gain, and happiness. They develop Stanley Milgram’s claim that there is only six degrees of separation between any two ind</w:t>
      </w:r>
      <w:r w:rsidRPr="00634221">
        <w:rPr>
          <w:rFonts w:cs="Times New Roman"/>
        </w:rPr>
        <w:t>i</w:t>
      </w:r>
      <w:r w:rsidRPr="00634221">
        <w:rPr>
          <w:rFonts w:cs="Times New Roman"/>
        </w:rPr>
        <w:t>viduals on Earth by adding that in a network, it can be demonstrated that there are also three degrees of influence. That is, one is not only influenced by one’s immediate friends and s</w:t>
      </w:r>
      <w:r w:rsidRPr="00634221">
        <w:rPr>
          <w:rFonts w:cs="Times New Roman"/>
        </w:rPr>
        <w:t>o</w:t>
      </w:r>
      <w:r w:rsidRPr="00634221">
        <w:rPr>
          <w:rFonts w:cs="Times New Roman"/>
        </w:rPr>
        <w:t>cial contacts, but by their friends, and their friends’ friends.  For example, an individual’s chance of becoming obese increases 57 percent if a friend becomes obese; it increases by 20 percent if it is a friend’s friend who becomes obese; and it increases 10 percent if it is a friend’s friend’s friend who becomes obese. Beyond the third degree of separation, there is no measurable influence.</w:t>
      </w:r>
    </w:p>
    <w:p w:rsidR="00AE0870" w:rsidRPr="00634221" w:rsidRDefault="00AE0870" w:rsidP="00634221">
      <w:pPr>
        <w:pStyle w:val="Standard"/>
        <w:spacing w:before="120" w:after="120"/>
        <w:outlineLvl w:val="2"/>
        <w:rPr>
          <w:rFonts w:cs="Times New Roman"/>
          <w:b/>
        </w:rPr>
      </w:pPr>
      <w:r w:rsidRPr="00634221">
        <w:rPr>
          <w:rFonts w:cs="Times New Roman"/>
          <w:b/>
        </w:rPr>
        <w:t>Large Groups</w:t>
      </w:r>
    </w:p>
    <w:p w:rsidR="00AE0870" w:rsidRPr="00634221" w:rsidRDefault="00AE0870" w:rsidP="00634221">
      <w:pPr>
        <w:pStyle w:val="Standard"/>
        <w:spacing w:before="239"/>
        <w:ind w:firstLine="288"/>
        <w:rPr>
          <w:rFonts w:cs="Times New Roman"/>
        </w:rPr>
      </w:pPr>
      <w:r w:rsidRPr="00634221">
        <w:rPr>
          <w:rFonts w:cs="Times New Roman"/>
        </w:rPr>
        <w:t>It is difficult to define exactly when a small group becomes a large group. One step might be when there are too many people to join in a simultaneous discussion. Another might be when a group joins with other groups as part of a movement that unites them. These larger groups may share a geographic space, such as Occupy Montreal or the People’s Assembly of Victoria, or they might be spread out around the globe. The larger the group, the more atte</w:t>
      </w:r>
      <w:r w:rsidRPr="00634221">
        <w:rPr>
          <w:rFonts w:cs="Times New Roman"/>
        </w:rPr>
        <w:t>n</w:t>
      </w:r>
      <w:r w:rsidRPr="00634221">
        <w:rPr>
          <w:rFonts w:cs="Times New Roman"/>
        </w:rPr>
        <w:t>tion it can garner, and the more pressure members can put toward whatever goal they wish to achieve. At the same time, the larger the group becomes, the more the risk grows for division and lack of cohesion.</w:t>
      </w:r>
    </w:p>
    <w:p w:rsidR="00AE0870" w:rsidRPr="00634221" w:rsidRDefault="00AE0870" w:rsidP="00634221">
      <w:pPr>
        <w:pStyle w:val="Standard"/>
        <w:spacing w:before="120" w:after="120"/>
        <w:outlineLvl w:val="2"/>
        <w:rPr>
          <w:rFonts w:cs="Times New Roman"/>
          <w:b/>
        </w:rPr>
      </w:pPr>
      <w:r w:rsidRPr="00634221">
        <w:rPr>
          <w:rFonts w:cs="Times New Roman"/>
          <w:b/>
        </w:rPr>
        <w:t>Group Leadership</w:t>
      </w:r>
    </w:p>
    <w:p w:rsidR="00AE0870" w:rsidRPr="00634221" w:rsidRDefault="00AE0870" w:rsidP="00634221">
      <w:pPr>
        <w:pStyle w:val="Standard"/>
        <w:spacing w:before="239"/>
        <w:ind w:firstLine="288"/>
        <w:rPr>
          <w:rFonts w:cs="Times New Roman"/>
        </w:rPr>
      </w:pPr>
      <w:r w:rsidRPr="00634221">
        <w:rPr>
          <w:rFonts w:cs="Times New Roman"/>
        </w:rPr>
        <w:t>Often, larger groups require some kind of leadership. In small, primary groups, leadership tends to be informal. After all, most families don’t take a vote on who will rule the group, nor do most groups of friends. This is not to say that de facto leaders don’t emerge, but formal leadership is rare. In secondary groups, leadership is usually more overt. There are often clearly outlined roles and responsibilities, with a chain of command to follow. Some secon</w:t>
      </w:r>
      <w:r w:rsidRPr="00634221">
        <w:rPr>
          <w:rFonts w:cs="Times New Roman"/>
        </w:rPr>
        <w:t>d</w:t>
      </w:r>
      <w:r w:rsidRPr="00634221">
        <w:rPr>
          <w:rFonts w:cs="Times New Roman"/>
        </w:rPr>
        <w:t xml:space="preserve">ary groups, like the army, have highly structured and clearly understood chains of command, and many lives depend on those. After all, how well could soldiers function in a </w:t>
      </w:r>
      <w:r w:rsidRPr="00634221">
        <w:rPr>
          <w:rFonts w:cs="Times New Roman"/>
        </w:rPr>
        <w:lastRenderedPageBreak/>
        <w:t>battle if they had no idea whom to listen to or if different people were calling out orders? Other secondary groups, like a workplace or a classroom, also have formal leaders, but the styles and functions of leadership can vary significantly.</w:t>
      </w:r>
    </w:p>
    <w:p w:rsidR="00AE0870" w:rsidRPr="00634221" w:rsidRDefault="00AE0870" w:rsidP="00634221">
      <w:pPr>
        <w:pStyle w:val="Standard"/>
        <w:spacing w:before="239"/>
        <w:ind w:firstLine="288"/>
        <w:rPr>
          <w:rFonts w:cs="Times New Roman"/>
        </w:rPr>
      </w:pPr>
      <w:r w:rsidRPr="00634221">
        <w:rPr>
          <w:rStyle w:val="bold"/>
          <w:rFonts w:cs="Times New Roman"/>
        </w:rPr>
        <w:t>Leadership function</w:t>
      </w:r>
      <w:r w:rsidRPr="00634221">
        <w:rPr>
          <w:rFonts w:cs="Times New Roman"/>
        </w:rPr>
        <w:t xml:space="preserve"> refers to the main focus or goal of the leader. An </w:t>
      </w:r>
      <w:r w:rsidRPr="00634221">
        <w:rPr>
          <w:rStyle w:val="bold"/>
          <w:rFonts w:cs="Times New Roman"/>
        </w:rPr>
        <w:t>instrumental leader</w:t>
      </w:r>
      <w:r w:rsidRPr="00634221">
        <w:rPr>
          <w:rFonts w:cs="Times New Roman"/>
        </w:rPr>
        <w:t xml:space="preserve"> is one who is goal oriented and largely concerned with accomplishing set tasks. An army general or a Fortune 500 CEO would be an instrumental leader. In contrast, </w:t>
      </w:r>
      <w:r w:rsidRPr="00634221">
        <w:rPr>
          <w:rStyle w:val="bold"/>
          <w:rFonts w:cs="Times New Roman"/>
        </w:rPr>
        <w:t>expressive leaders</w:t>
      </w:r>
      <w:r w:rsidRPr="00634221">
        <w:rPr>
          <w:rFonts w:cs="Times New Roman"/>
        </w:rPr>
        <w:t xml:space="preserve"> are more concerned with promoting emotional strength and health, and ensuring that people feel supported. Social and religious leaders—rabbis, priests, imams, and directors of youth homes and social service programs—are often perceived as expressive leaders. There is a longstanding stereotype that men are more instrumental leaders and women are more e</w:t>
      </w:r>
      <w:r w:rsidRPr="00634221">
        <w:rPr>
          <w:rFonts w:cs="Times New Roman"/>
        </w:rPr>
        <w:t>x</w:t>
      </w:r>
      <w:r w:rsidRPr="00634221">
        <w:rPr>
          <w:rFonts w:cs="Times New Roman"/>
        </w:rPr>
        <w:t>pressive leaders. Although gender roles have changed, even today many women and men who exhibit the opposite-gender manner can be seen as deviants and can encounter r</w:t>
      </w:r>
      <w:r w:rsidRPr="00634221">
        <w:rPr>
          <w:rFonts w:cs="Times New Roman"/>
        </w:rPr>
        <w:t>e</w:t>
      </w:r>
      <w:r w:rsidRPr="00634221">
        <w:rPr>
          <w:rFonts w:cs="Times New Roman"/>
        </w:rPr>
        <w:t>sistance. Former U.S. Secretary of State and presidential candidate Hillary Clinton provides an example of how society reacts to a high-profile woman who is an instrumental leader. D</w:t>
      </w:r>
      <w:r w:rsidRPr="00634221">
        <w:rPr>
          <w:rFonts w:cs="Times New Roman"/>
        </w:rPr>
        <w:t>e</w:t>
      </w:r>
      <w:r w:rsidRPr="00634221">
        <w:rPr>
          <w:rFonts w:cs="Times New Roman"/>
        </w:rPr>
        <w:t>spite the stereotype, Boatwright and Forrest (2000) have found that both men and women prefer leaders who use a combination of expressive and instrumental leadership.</w:t>
      </w:r>
    </w:p>
    <w:p w:rsidR="00AE0870" w:rsidRPr="00634221" w:rsidRDefault="00AE0870" w:rsidP="00634221">
      <w:pPr>
        <w:rPr>
          <w:rFonts w:cs="Times New Roman"/>
        </w:rPr>
        <w:sectPr w:rsidR="00AE0870" w:rsidRPr="00634221">
          <w:type w:val="continuous"/>
          <w:pgSz w:w="11906" w:h="16838"/>
          <w:pgMar w:top="1440" w:right="1440" w:bottom="1440" w:left="1440" w:header="720" w:footer="720" w:gutter="0"/>
          <w:cols w:space="720"/>
        </w:sectPr>
      </w:pPr>
    </w:p>
    <w:p w:rsidR="00AE0870" w:rsidRPr="00634221" w:rsidRDefault="00AE0870" w:rsidP="00634221">
      <w:pPr>
        <w:pStyle w:val="Standard"/>
        <w:spacing w:before="239"/>
        <w:ind w:firstLine="288"/>
        <w:rPr>
          <w:rFonts w:cs="Times New Roman"/>
        </w:rPr>
      </w:pPr>
      <w:r w:rsidRPr="00634221">
        <w:rPr>
          <w:rFonts w:cs="Times New Roman"/>
        </w:rPr>
        <w:lastRenderedPageBreak/>
        <w:t xml:space="preserve">In addition to these leadership functions, there are three different </w:t>
      </w:r>
      <w:r w:rsidRPr="00634221">
        <w:rPr>
          <w:rStyle w:val="bold"/>
          <w:rFonts w:cs="Times New Roman"/>
        </w:rPr>
        <w:t>leadership styles</w:t>
      </w:r>
      <w:r w:rsidRPr="00634221">
        <w:rPr>
          <w:rFonts w:cs="Times New Roman"/>
        </w:rPr>
        <w:t xml:space="preserve">. </w:t>
      </w:r>
      <w:r w:rsidRPr="00634221">
        <w:rPr>
          <w:rStyle w:val="bold"/>
          <w:rFonts w:cs="Times New Roman"/>
        </w:rPr>
        <w:t>De</w:t>
      </w:r>
      <w:r w:rsidRPr="00634221">
        <w:rPr>
          <w:rStyle w:val="bold"/>
          <w:rFonts w:cs="Times New Roman"/>
        </w:rPr>
        <w:t>m</w:t>
      </w:r>
      <w:r w:rsidRPr="00634221">
        <w:rPr>
          <w:rStyle w:val="bold"/>
          <w:rFonts w:cs="Times New Roman"/>
        </w:rPr>
        <w:t>ocratic leaders</w:t>
      </w:r>
      <w:r w:rsidRPr="00634221">
        <w:rPr>
          <w:rFonts w:cs="Times New Roman"/>
        </w:rPr>
        <w:t xml:space="preserve"> encourage group participation in all decision making. These leaders work hard to build consensus before choosing a course of action and moving forward. This type of leader is particularly common, for example, in a club where the members vote on which a</w:t>
      </w:r>
      <w:r w:rsidRPr="00634221">
        <w:rPr>
          <w:rFonts w:cs="Times New Roman"/>
        </w:rPr>
        <w:t>c</w:t>
      </w:r>
      <w:r w:rsidRPr="00634221">
        <w:rPr>
          <w:rFonts w:cs="Times New Roman"/>
        </w:rPr>
        <w:t xml:space="preserve">tivities or projects to pursue. These leaders can be well liked, but there is often a challenge that the work will proceed slowly since consensus building is time-consuming. A further risk is that group members might pick sides and entrench themselves into opposing factions rather than reaching a solution. In contrast, a </w:t>
      </w:r>
      <w:r w:rsidRPr="00634221">
        <w:rPr>
          <w:rStyle w:val="bold"/>
          <w:rFonts w:cs="Times New Roman"/>
        </w:rPr>
        <w:t>laissez-faire leader</w:t>
      </w:r>
      <w:r w:rsidRPr="00634221">
        <w:rPr>
          <w:rFonts w:cs="Times New Roman"/>
        </w:rPr>
        <w:t xml:space="preserve"> (French for “leave it alone”) is hands-off, allowing group members to self-manage and make their own decisions. An exa</w:t>
      </w:r>
      <w:r w:rsidRPr="00634221">
        <w:rPr>
          <w:rFonts w:cs="Times New Roman"/>
        </w:rPr>
        <w:t>m</w:t>
      </w:r>
      <w:r w:rsidRPr="00634221">
        <w:rPr>
          <w:rFonts w:cs="Times New Roman"/>
        </w:rPr>
        <w:t>ple of this kind of leader might be an art teacher who opens the art cupboard, leaves materials on the shelves, and tells students to help themselves and make some art. While this style can work well with highly motivated and mature participants who have clear goals and guid</w:t>
      </w:r>
      <w:r w:rsidRPr="00634221">
        <w:rPr>
          <w:rFonts w:cs="Times New Roman"/>
        </w:rPr>
        <w:t>e</w:t>
      </w:r>
      <w:r w:rsidRPr="00634221">
        <w:rPr>
          <w:rFonts w:cs="Times New Roman"/>
        </w:rPr>
        <w:t xml:space="preserve">lines, it risks group dissolution and a lack of progress. As the name suggests, </w:t>
      </w:r>
      <w:r w:rsidRPr="00634221">
        <w:rPr>
          <w:rStyle w:val="bold"/>
          <w:rFonts w:cs="Times New Roman"/>
        </w:rPr>
        <w:t>authoritarian leaders</w:t>
      </w:r>
      <w:r w:rsidRPr="00634221">
        <w:rPr>
          <w:rFonts w:cs="Times New Roman"/>
        </w:rPr>
        <w:t xml:space="preserve"> issue orders and assigns tasks. These leaders are clear instrumental leaders with a strong focus on meeting goals. Often, entrepreneurs fall into this mould, like Facebook founder Mark Zuckerberg. Not surprisingly, this type of leader risks alienating the workers. There are times, however, when this style of leadership can be required. In different circu</w:t>
      </w:r>
      <w:r w:rsidRPr="00634221">
        <w:rPr>
          <w:rFonts w:cs="Times New Roman"/>
        </w:rPr>
        <w:t>m</w:t>
      </w:r>
      <w:r w:rsidRPr="00634221">
        <w:rPr>
          <w:rFonts w:cs="Times New Roman"/>
        </w:rPr>
        <w:t>stances, each of these leadership styles can be effective and successful. Consider what leade</w:t>
      </w:r>
      <w:r w:rsidRPr="00634221">
        <w:rPr>
          <w:rFonts w:cs="Times New Roman"/>
        </w:rPr>
        <w:t>r</w:t>
      </w:r>
      <w:r w:rsidRPr="00634221">
        <w:rPr>
          <w:rFonts w:cs="Times New Roman"/>
        </w:rPr>
        <w:t>ship style you prefer. Why? Do you like the same style in different areas of your life, such as a classroom, a workplace, and a sports team? </w:t>
      </w:r>
    </w:p>
    <w:p w:rsidR="00AE0870" w:rsidRPr="00634221" w:rsidRDefault="00AE0870" w:rsidP="00634221">
      <w:pPr>
        <w:pStyle w:val="Standard"/>
        <w:spacing w:before="120" w:after="120"/>
        <w:outlineLvl w:val="2"/>
        <w:rPr>
          <w:rFonts w:cs="Times New Roman"/>
          <w:b/>
        </w:rPr>
      </w:pPr>
      <w:r w:rsidRPr="00634221">
        <w:rPr>
          <w:rFonts w:cs="Times New Roman"/>
          <w:b/>
        </w:rPr>
        <w:t>Conformity</w:t>
      </w:r>
    </w:p>
    <w:p w:rsidR="00AE0870" w:rsidRPr="00634221" w:rsidRDefault="00AE0870" w:rsidP="00634221">
      <w:pPr>
        <w:pStyle w:val="Standard"/>
        <w:spacing w:before="239"/>
        <w:ind w:firstLine="288"/>
        <w:rPr>
          <w:rFonts w:cs="Times New Roman"/>
        </w:rPr>
      </w:pPr>
      <w:r w:rsidRPr="00634221">
        <w:rPr>
          <w:rFonts w:cs="Times New Roman"/>
        </w:rPr>
        <w:t xml:space="preserve">We all like to fit in to some degree. Likewise, when we want to stand out, we want to choose how we stand out and for what reasons. For example, a woman who loves cutting-edge fashion and wants to dress in thought-provoking new styles likely wants to be noticed within a framework of high fashion. She would not want people to think she was too poor to </w:t>
      </w:r>
      <w:r w:rsidRPr="00634221">
        <w:rPr>
          <w:rFonts w:cs="Times New Roman"/>
        </w:rPr>
        <w:lastRenderedPageBreak/>
        <w:t>find proper clothes. </w:t>
      </w:r>
      <w:r w:rsidRPr="00634221">
        <w:rPr>
          <w:rStyle w:val="bold"/>
          <w:rFonts w:cs="Times New Roman"/>
        </w:rPr>
        <w:t>Conformity</w:t>
      </w:r>
      <w:r w:rsidRPr="00634221">
        <w:rPr>
          <w:rFonts w:cs="Times New Roman"/>
        </w:rPr>
        <w:t xml:space="preserve"> is the extent to which an individual complies with group norms or expectations. As you might recall, we use reference groups to assess and understand how we should act, dress, and behave. Not surprisingly, young people are particularly aware of who conforms and who does not. A high school boy whose mother makes him wear ironed button-down shirts might protest that he will look stupid—that everyone else wears T-shirts. Another high school boy might like wearing those shirts as a way of standing out. Recall Georg Simmel’s analysis of the contradictory dynamics of fashion: it represents both the need to conform and the need to stand out. How much do you enjoy being noticed? Do you co</w:t>
      </w:r>
      <w:r w:rsidRPr="00634221">
        <w:rPr>
          <w:rFonts w:cs="Times New Roman"/>
        </w:rPr>
        <w:t>n</w:t>
      </w:r>
      <w:r w:rsidRPr="00634221">
        <w:rPr>
          <w:rFonts w:cs="Times New Roman"/>
        </w:rPr>
        <w:t>sciously prefer to conform to group norms so as not to be singled out? Are there people in your class or peer group who immediately come to mind when you think about those who do, and do not, want to conform?</w:t>
      </w:r>
    </w:p>
    <w:p w:rsidR="00AE0870" w:rsidRPr="00634221" w:rsidRDefault="00AE0870" w:rsidP="00634221">
      <w:pPr>
        <w:pStyle w:val="Standard"/>
        <w:spacing w:before="239"/>
        <w:ind w:firstLine="288"/>
        <w:rPr>
          <w:rFonts w:cs="Times New Roman"/>
        </w:rPr>
      </w:pPr>
      <w:r w:rsidRPr="00634221">
        <w:rPr>
          <w:rFonts w:cs="Times New Roman"/>
        </w:rPr>
        <w:t>A number of famous experiments in the 1950s, 60s, and 70s tested the propensity of ind</w:t>
      </w:r>
      <w:r w:rsidRPr="00634221">
        <w:rPr>
          <w:rFonts w:cs="Times New Roman"/>
        </w:rPr>
        <w:t>i</w:t>
      </w:r>
      <w:r w:rsidRPr="00634221">
        <w:rPr>
          <w:rFonts w:cs="Times New Roman"/>
        </w:rPr>
        <w:t>viduals to conform to authority. We have already examined the Stanford Prison experiment in Chapter 2. Within days of beginning the simulated prison experiment the random sample of university students proved themselves capable of conforming to the roles of prison guards and prisoners to an extreme degree, even though the conditions were highly artificial (Haney, Banks, and Zimbardo 1973).</w:t>
      </w:r>
    </w:p>
    <w:p w:rsidR="00AE0870" w:rsidRPr="00634221" w:rsidRDefault="00AE0870" w:rsidP="00634221">
      <w:pPr>
        <w:pStyle w:val="Standard"/>
        <w:spacing w:before="239"/>
        <w:ind w:firstLine="288"/>
        <w:rPr>
          <w:rFonts w:cs="Times New Roman"/>
        </w:rPr>
      </w:pPr>
      <w:r w:rsidRPr="00634221">
        <w:rPr>
          <w:rFonts w:cs="Times New Roman"/>
        </w:rPr>
        <w:t>Stanley Milgram conducted experiments in the 1960s on how structures of authority re</w:t>
      </w:r>
      <w:r w:rsidRPr="00634221">
        <w:rPr>
          <w:rFonts w:cs="Times New Roman"/>
        </w:rPr>
        <w:t>n</w:t>
      </w:r>
      <w:r w:rsidRPr="00634221">
        <w:rPr>
          <w:rFonts w:cs="Times New Roman"/>
        </w:rPr>
        <w:t>dered individuals obedient (Milgram 1963). This was shortly after the Adolf Eichmann war crime trial in which Eichmann claimed that he was just a bureaucrat following orders when he helped to organize the Holocaust. Milgram had experimental subjects administer what they were led to believe were electric shocks to a subject when the subject gave a wrong a</w:t>
      </w:r>
      <w:r w:rsidRPr="00634221">
        <w:rPr>
          <w:rFonts w:cs="Times New Roman"/>
        </w:rPr>
        <w:t>n</w:t>
      </w:r>
      <w:r w:rsidRPr="00634221">
        <w:rPr>
          <w:rFonts w:cs="Times New Roman"/>
        </w:rPr>
        <w:t>swer to a question. Each time a wrong answer was given, the experimental subject was told to increase the intensity of the shock. The experiment was supposed to be testing the relatio</w:t>
      </w:r>
      <w:r w:rsidRPr="00634221">
        <w:rPr>
          <w:rFonts w:cs="Times New Roman"/>
        </w:rPr>
        <w:t>n</w:t>
      </w:r>
      <w:r w:rsidRPr="00634221">
        <w:rPr>
          <w:rFonts w:cs="Times New Roman"/>
        </w:rPr>
        <w:t>ship between punishment and learning, but the subject receiving the shocks was an actor. As the experimental subjects increased the amount of voltage, the actor began to show distress, eventually begging to be released. When the subjects became reluctant to administer more shocks, Milgram (wearing a white lab coat to underline his authority as a scientist) assured them that the actor would be fine and that the results of the experiment would be compr</w:t>
      </w:r>
      <w:r w:rsidRPr="00634221">
        <w:rPr>
          <w:rFonts w:cs="Times New Roman"/>
        </w:rPr>
        <w:t>o</w:t>
      </w:r>
      <w:r w:rsidRPr="00634221">
        <w:rPr>
          <w:rFonts w:cs="Times New Roman"/>
        </w:rPr>
        <w:t>mised if the subject did not continue. Seventy-one percent of the experimental subjects were willing to continue administering shocks even beyond 285 volts even though the actor was clearly in pain and the voltage dial was labelled with warnings like “Danger: Severe shock.”</w:t>
      </w:r>
    </w:p>
    <w:p w:rsidR="00AE0870" w:rsidRPr="00634221" w:rsidRDefault="00634221" w:rsidP="00634221">
      <w:pPr>
        <w:pStyle w:val="Standard"/>
        <w:spacing w:before="120" w:after="120"/>
        <w:outlineLvl w:val="1"/>
        <w:rPr>
          <w:rFonts w:cs="Times New Roman"/>
          <w:b/>
        </w:rPr>
      </w:pPr>
      <w:bookmarkStart w:id="2" w:name="section6.3."/>
      <w:bookmarkEnd w:id="2"/>
      <w:r>
        <w:rPr>
          <w:rFonts w:cs="Times New Roman"/>
          <w:b/>
        </w:rPr>
        <w:t xml:space="preserve">3. </w:t>
      </w:r>
      <w:bookmarkStart w:id="3" w:name="_GoBack"/>
      <w:bookmarkEnd w:id="3"/>
      <w:r w:rsidR="00AE0870" w:rsidRPr="00634221">
        <w:rPr>
          <w:rFonts w:cs="Times New Roman"/>
          <w:b/>
        </w:rPr>
        <w:t>Formal Organizations</w:t>
      </w:r>
    </w:p>
    <w:p w:rsidR="00AE0870" w:rsidRPr="00634221" w:rsidRDefault="00AE0870" w:rsidP="00634221">
      <w:pPr>
        <w:pStyle w:val="Standard"/>
        <w:spacing w:before="239"/>
        <w:ind w:firstLine="288"/>
        <w:rPr>
          <w:rFonts w:cs="Times New Roman"/>
        </w:rPr>
      </w:pPr>
      <w:r w:rsidRPr="00634221">
        <w:rPr>
          <w:rFonts w:cs="Times New Roman"/>
        </w:rPr>
        <w:t xml:space="preserve">A complaint of modern life is that society is dominated by large and impersonal secondary organizations. From schools to businesses to health care to government, these organizations are referred to as </w:t>
      </w:r>
      <w:r w:rsidRPr="00634221">
        <w:rPr>
          <w:rStyle w:val="bold"/>
          <w:rFonts w:cs="Times New Roman"/>
        </w:rPr>
        <w:t>formal organizations</w:t>
      </w:r>
      <w:r w:rsidRPr="00634221">
        <w:rPr>
          <w:rFonts w:cs="Times New Roman"/>
        </w:rPr>
        <w:t xml:space="preserve">. A formal organization is a large secondary group deliberately organized to achieve its goals efficiently. Typically, formal organizations are highly bureaucratized. The term </w:t>
      </w:r>
      <w:r w:rsidRPr="00634221">
        <w:rPr>
          <w:rStyle w:val="bold"/>
          <w:rFonts w:cs="Times New Roman"/>
        </w:rPr>
        <w:t>bureaucracy</w:t>
      </w:r>
      <w:r w:rsidRPr="00634221">
        <w:rPr>
          <w:rFonts w:cs="Times New Roman"/>
        </w:rPr>
        <w:t xml:space="preserve"> refers to what Max Weber termed “an ideal type” of formal organization (1922). In its sociological usage, “ideal” does not mean “best”; it refers to a general model that describes a collection of characteristics, or a type that could </w:t>
      </w:r>
      <w:r w:rsidRPr="00634221">
        <w:rPr>
          <w:rFonts w:cs="Times New Roman"/>
        </w:rPr>
        <w:lastRenderedPageBreak/>
        <w:t>describe most examples of the item under discussion. For example, if your professor were to tell the class to picture a car in their minds, most students will picture a car that shares a set of characteristics: four wheels, a windshield, and so on. Everyone’s car will be somewhat diffe</w:t>
      </w:r>
      <w:r w:rsidRPr="00634221">
        <w:rPr>
          <w:rFonts w:cs="Times New Roman"/>
        </w:rPr>
        <w:t>r</w:t>
      </w:r>
      <w:r w:rsidRPr="00634221">
        <w:rPr>
          <w:rFonts w:cs="Times New Roman"/>
        </w:rPr>
        <w:t>ent, however. Some might picture a two-door sports car while others might picture an SUV. It is possible for a car to have three wheels instead of four. However, the general idea of the car that everyone shares is the ideal type. Bureaucracies are similar. While each bureaucracy has its own idiosyncratic features, the way each is deliberately organized to achieve its goals eff</w:t>
      </w:r>
      <w:r w:rsidRPr="00634221">
        <w:rPr>
          <w:rFonts w:cs="Times New Roman"/>
        </w:rPr>
        <w:t>i</w:t>
      </w:r>
      <w:r w:rsidRPr="00634221">
        <w:rPr>
          <w:rFonts w:cs="Times New Roman"/>
        </w:rPr>
        <w:t>ciently shares a certain consistency. We will discuss bureaucracies as an ideal type of organ</w:t>
      </w:r>
      <w:r w:rsidRPr="00634221">
        <w:rPr>
          <w:rFonts w:cs="Times New Roman"/>
        </w:rPr>
        <w:t>i</w:t>
      </w:r>
      <w:r w:rsidRPr="00634221">
        <w:rPr>
          <w:rFonts w:cs="Times New Roman"/>
        </w:rPr>
        <w:t>zation.</w:t>
      </w:r>
    </w:p>
    <w:p w:rsidR="00AE0870" w:rsidRPr="00634221" w:rsidRDefault="00AE0870" w:rsidP="00634221">
      <w:pPr>
        <w:pStyle w:val="Standard"/>
        <w:spacing w:before="120" w:after="120"/>
        <w:outlineLvl w:val="2"/>
        <w:rPr>
          <w:rFonts w:cs="Times New Roman"/>
          <w:b/>
        </w:rPr>
      </w:pPr>
      <w:r w:rsidRPr="00634221">
        <w:rPr>
          <w:rFonts w:cs="Times New Roman"/>
          <w:b/>
        </w:rPr>
        <w:t>Types of Formal Organizations</w:t>
      </w:r>
    </w:p>
    <w:p w:rsidR="00AE0870" w:rsidRPr="00634221" w:rsidRDefault="00AE0870" w:rsidP="00634221">
      <w:pPr>
        <w:rPr>
          <w:rFonts w:cs="Times New Roman"/>
        </w:rPr>
        <w:sectPr w:rsidR="00AE0870" w:rsidRPr="00634221">
          <w:type w:val="continuous"/>
          <w:pgSz w:w="11906" w:h="16838"/>
          <w:pgMar w:top="1440" w:right="1440" w:bottom="1440" w:left="1440" w:header="720" w:footer="720" w:gutter="0"/>
          <w:cols w:space="720"/>
        </w:sectPr>
      </w:pPr>
    </w:p>
    <w:p w:rsidR="00AE0870" w:rsidRPr="00634221" w:rsidRDefault="00AE0870" w:rsidP="00634221">
      <w:pPr>
        <w:pStyle w:val="Standard"/>
        <w:spacing w:before="239"/>
        <w:ind w:firstLine="288"/>
        <w:rPr>
          <w:rFonts w:cs="Times New Roman"/>
        </w:rPr>
      </w:pPr>
      <w:r w:rsidRPr="00634221">
        <w:rPr>
          <w:rFonts w:cs="Times New Roman"/>
        </w:rPr>
        <w:lastRenderedPageBreak/>
        <w:t>Sociologist Amitai Etzioni (1975) posited that formal organizations fall into three categ</w:t>
      </w:r>
      <w:r w:rsidRPr="00634221">
        <w:rPr>
          <w:rFonts w:cs="Times New Roman"/>
        </w:rPr>
        <w:t>o</w:t>
      </w:r>
      <w:r w:rsidRPr="00634221">
        <w:rPr>
          <w:rFonts w:cs="Times New Roman"/>
        </w:rPr>
        <w:t>ries. </w:t>
      </w:r>
      <w:r w:rsidRPr="00634221">
        <w:rPr>
          <w:rStyle w:val="bold"/>
          <w:rFonts w:cs="Times New Roman"/>
        </w:rPr>
        <w:t>Normative organizations</w:t>
      </w:r>
      <w:r w:rsidRPr="00634221">
        <w:rPr>
          <w:rFonts w:cs="Times New Roman"/>
        </w:rPr>
        <w:t>, also called </w:t>
      </w:r>
      <w:r w:rsidRPr="00634221">
        <w:rPr>
          <w:rStyle w:val="bold"/>
          <w:rFonts w:cs="Times New Roman"/>
        </w:rPr>
        <w:t>voluntary organizations</w:t>
      </w:r>
      <w:r w:rsidRPr="00634221">
        <w:rPr>
          <w:rFonts w:cs="Times New Roman"/>
        </w:rPr>
        <w:t>, are based on shared interests. As the name suggests, joining them is voluntary and typically done because people find membership rewarding in an intangible way. Compliance to the group is maintained through moral control. The Audubon Society or a ski club are examples of normative organ</w:t>
      </w:r>
      <w:r w:rsidRPr="00634221">
        <w:rPr>
          <w:rFonts w:cs="Times New Roman"/>
        </w:rPr>
        <w:t>i</w:t>
      </w:r>
      <w:r w:rsidRPr="00634221">
        <w:rPr>
          <w:rFonts w:cs="Times New Roman"/>
        </w:rPr>
        <w:t>zations. </w:t>
      </w:r>
      <w:r w:rsidRPr="00634221">
        <w:rPr>
          <w:rStyle w:val="bold"/>
          <w:rFonts w:cs="Times New Roman"/>
        </w:rPr>
        <w:t>Coercive organizations</w:t>
      </w:r>
      <w:r w:rsidRPr="00634221">
        <w:rPr>
          <w:rFonts w:cs="Times New Roman"/>
        </w:rPr>
        <w:t xml:space="preserve"> are groups that one must be coerced, or pushed, to join. These may include prison, the military, or a rehabilitation centre. Compliance is maintained through force and coercion. Goffman (1961) states that most coercive organizations are </w:t>
      </w:r>
      <w:r w:rsidRPr="00634221">
        <w:rPr>
          <w:rStyle w:val="bold"/>
          <w:rFonts w:cs="Times New Roman"/>
        </w:rPr>
        <w:t>total institutions</w:t>
      </w:r>
      <w:r w:rsidRPr="00634221">
        <w:rPr>
          <w:rFonts w:cs="Times New Roman"/>
        </w:rPr>
        <w:t>. A total institution is one in which inmates live a controlled life apart from the rest of society and in which total resocialization takes place. The third type are </w:t>
      </w:r>
      <w:r w:rsidRPr="00634221">
        <w:rPr>
          <w:rStyle w:val="bold"/>
          <w:rFonts w:cs="Times New Roman"/>
        </w:rPr>
        <w:t>utilitarian organizations</w:t>
      </w:r>
      <w:r w:rsidRPr="00634221">
        <w:rPr>
          <w:rFonts w:cs="Times New Roman"/>
        </w:rPr>
        <w:t>, which, as the name suggests, are joined because of the need for a specific m</w:t>
      </w:r>
      <w:r w:rsidRPr="00634221">
        <w:rPr>
          <w:rFonts w:cs="Times New Roman"/>
        </w:rPr>
        <w:t>a</w:t>
      </w:r>
      <w:r w:rsidRPr="00634221">
        <w:rPr>
          <w:rFonts w:cs="Times New Roman"/>
        </w:rPr>
        <w:t>terial reward. High school or a workplace would fall into this category—one joined in pursuit of a diploma, the other in order to make money. Compliance is maintained through remuner</w:t>
      </w:r>
      <w:r w:rsidRPr="00634221">
        <w:rPr>
          <w:rFonts w:cs="Times New Roman"/>
        </w:rPr>
        <w:t>a</w:t>
      </w:r>
      <w:r w:rsidRPr="00634221">
        <w:rPr>
          <w:rFonts w:cs="Times New Roman"/>
        </w:rPr>
        <w:t>tion and rewards.</w:t>
      </w:r>
    </w:p>
    <w:p w:rsidR="00AE0870" w:rsidRPr="00634221" w:rsidRDefault="00AE0870" w:rsidP="00634221">
      <w:pPr>
        <w:pStyle w:val="PCenter"/>
        <w:jc w:val="left"/>
        <w:rPr>
          <w:rFonts w:cs="Times New Roman"/>
        </w:rPr>
      </w:pPr>
      <w:r w:rsidRPr="00634221">
        <w:rPr>
          <w:rStyle w:val="italic"/>
          <w:rFonts w:cs="Times New Roman"/>
        </w:rPr>
        <w:t>Table 6.1. Etzioni’s Three Types of Formal Organizations (Source: Etzioni 1975)</w:t>
      </w:r>
    </w:p>
    <w:tbl>
      <w:tblPr>
        <w:tblW w:w="0" w:type="auto"/>
        <w:tblCellMar>
          <w:left w:w="10" w:type="dxa"/>
          <w:right w:w="10" w:type="dxa"/>
        </w:tblCellMar>
        <w:tblLook w:val="0000" w:firstRow="0" w:lastRow="0" w:firstColumn="0" w:lastColumn="0" w:noHBand="0" w:noVBand="0"/>
      </w:tblPr>
      <w:tblGrid>
        <w:gridCol w:w="2341"/>
        <w:gridCol w:w="2142"/>
        <w:gridCol w:w="2898"/>
        <w:gridCol w:w="1665"/>
      </w:tblGrid>
      <w:tr w:rsidR="00634221" w:rsidRPr="00634221" w:rsidTr="00D56360">
        <w:tblPrEx>
          <w:tblCellMar>
            <w:top w:w="0" w:type="dxa"/>
            <w:bottom w:w="0" w:type="dxa"/>
          </w:tblCellMar>
        </w:tblPrEx>
        <w:tc>
          <w:tcPr>
            <w:tcW w:w="0" w:type="auto"/>
          </w:tcPr>
          <w:p w:rsidR="00AE0870" w:rsidRPr="00634221" w:rsidRDefault="00AE0870" w:rsidP="00634221">
            <w:pPr>
              <w:pStyle w:val="Standard"/>
              <w:rPr>
                <w:rFonts w:cs="Times New Roman"/>
              </w:rPr>
            </w:pPr>
          </w:p>
        </w:tc>
        <w:tc>
          <w:tcPr>
            <w:tcW w:w="0" w:type="auto"/>
          </w:tcPr>
          <w:p w:rsidR="00AE0870" w:rsidRPr="00634221" w:rsidRDefault="00AE0870" w:rsidP="00634221">
            <w:pPr>
              <w:pStyle w:val="Standard"/>
              <w:rPr>
                <w:rFonts w:cs="Times New Roman"/>
              </w:rPr>
            </w:pPr>
            <w:r w:rsidRPr="00634221">
              <w:rPr>
                <w:rFonts w:cs="Times New Roman"/>
              </w:rPr>
              <w:t>Normative or Volu</w:t>
            </w:r>
            <w:r w:rsidRPr="00634221">
              <w:rPr>
                <w:rFonts w:cs="Times New Roman"/>
              </w:rPr>
              <w:t>n</w:t>
            </w:r>
            <w:r w:rsidRPr="00634221">
              <w:rPr>
                <w:rFonts w:cs="Times New Roman"/>
              </w:rPr>
              <w:t>tary</w:t>
            </w:r>
          </w:p>
        </w:tc>
        <w:tc>
          <w:tcPr>
            <w:tcW w:w="0" w:type="auto"/>
          </w:tcPr>
          <w:p w:rsidR="00AE0870" w:rsidRPr="00634221" w:rsidRDefault="00AE0870" w:rsidP="00634221">
            <w:pPr>
              <w:pStyle w:val="Standard"/>
              <w:rPr>
                <w:rFonts w:cs="Times New Roman"/>
              </w:rPr>
            </w:pPr>
            <w:r w:rsidRPr="00634221">
              <w:rPr>
                <w:rFonts w:cs="Times New Roman"/>
              </w:rPr>
              <w:t>Coercive</w:t>
            </w:r>
          </w:p>
        </w:tc>
        <w:tc>
          <w:tcPr>
            <w:tcW w:w="0" w:type="auto"/>
          </w:tcPr>
          <w:p w:rsidR="00AE0870" w:rsidRPr="00634221" w:rsidRDefault="00AE0870" w:rsidP="00634221">
            <w:pPr>
              <w:pStyle w:val="Standard"/>
              <w:rPr>
                <w:rFonts w:cs="Times New Roman"/>
              </w:rPr>
            </w:pPr>
            <w:r w:rsidRPr="00634221">
              <w:rPr>
                <w:rFonts w:cs="Times New Roman"/>
              </w:rPr>
              <w:t>Utilitarian</w:t>
            </w:r>
          </w:p>
        </w:tc>
      </w:tr>
      <w:tr w:rsidR="00634221" w:rsidRPr="00634221" w:rsidTr="00D56360">
        <w:tblPrEx>
          <w:tblCellMar>
            <w:top w:w="0" w:type="dxa"/>
            <w:bottom w:w="0" w:type="dxa"/>
          </w:tblCellMar>
        </w:tblPrEx>
        <w:tc>
          <w:tcPr>
            <w:tcW w:w="0" w:type="auto"/>
          </w:tcPr>
          <w:p w:rsidR="00AE0870" w:rsidRPr="00634221" w:rsidRDefault="00AE0870" w:rsidP="00634221">
            <w:pPr>
              <w:pStyle w:val="Standard"/>
              <w:rPr>
                <w:rFonts w:cs="Times New Roman"/>
              </w:rPr>
            </w:pPr>
            <w:r w:rsidRPr="00634221">
              <w:rPr>
                <w:rFonts w:cs="Times New Roman"/>
              </w:rPr>
              <w:t>Benefit of Membership</w:t>
            </w:r>
          </w:p>
        </w:tc>
        <w:tc>
          <w:tcPr>
            <w:tcW w:w="0" w:type="auto"/>
          </w:tcPr>
          <w:p w:rsidR="00AE0870" w:rsidRPr="00634221" w:rsidRDefault="00AE0870" w:rsidP="00634221">
            <w:pPr>
              <w:pStyle w:val="Standard"/>
              <w:rPr>
                <w:rFonts w:cs="Times New Roman"/>
              </w:rPr>
            </w:pPr>
            <w:r w:rsidRPr="00634221">
              <w:rPr>
                <w:rFonts w:cs="Times New Roman"/>
              </w:rPr>
              <w:t>Non-material benefit</w:t>
            </w:r>
          </w:p>
        </w:tc>
        <w:tc>
          <w:tcPr>
            <w:tcW w:w="0" w:type="auto"/>
          </w:tcPr>
          <w:p w:rsidR="00AE0870" w:rsidRPr="00634221" w:rsidRDefault="00AE0870" w:rsidP="00634221">
            <w:pPr>
              <w:pStyle w:val="Standard"/>
              <w:rPr>
                <w:rFonts w:cs="Times New Roman"/>
              </w:rPr>
            </w:pPr>
            <w:r w:rsidRPr="00634221">
              <w:rPr>
                <w:rFonts w:cs="Times New Roman"/>
              </w:rPr>
              <w:t>Corrective or disciplinary benefit</w:t>
            </w:r>
          </w:p>
        </w:tc>
        <w:tc>
          <w:tcPr>
            <w:tcW w:w="0" w:type="auto"/>
          </w:tcPr>
          <w:p w:rsidR="00AE0870" w:rsidRPr="00634221" w:rsidRDefault="00AE0870" w:rsidP="00634221">
            <w:pPr>
              <w:pStyle w:val="Standard"/>
              <w:rPr>
                <w:rFonts w:cs="Times New Roman"/>
              </w:rPr>
            </w:pPr>
            <w:r w:rsidRPr="00634221">
              <w:rPr>
                <w:rFonts w:cs="Times New Roman"/>
              </w:rPr>
              <w:t>Material benefit</w:t>
            </w:r>
          </w:p>
        </w:tc>
      </w:tr>
      <w:tr w:rsidR="00634221" w:rsidRPr="00634221" w:rsidTr="00D56360">
        <w:tblPrEx>
          <w:tblCellMar>
            <w:top w:w="0" w:type="dxa"/>
            <w:bottom w:w="0" w:type="dxa"/>
          </w:tblCellMar>
        </w:tblPrEx>
        <w:tc>
          <w:tcPr>
            <w:tcW w:w="0" w:type="auto"/>
          </w:tcPr>
          <w:p w:rsidR="00AE0870" w:rsidRPr="00634221" w:rsidRDefault="00AE0870" w:rsidP="00634221">
            <w:pPr>
              <w:pStyle w:val="Standard"/>
              <w:rPr>
                <w:rFonts w:cs="Times New Roman"/>
              </w:rPr>
            </w:pPr>
            <w:r w:rsidRPr="00634221">
              <w:rPr>
                <w:rFonts w:cs="Times New Roman"/>
              </w:rPr>
              <w:t>Type of Membership</w:t>
            </w:r>
          </w:p>
        </w:tc>
        <w:tc>
          <w:tcPr>
            <w:tcW w:w="0" w:type="auto"/>
          </w:tcPr>
          <w:p w:rsidR="00AE0870" w:rsidRPr="00634221" w:rsidRDefault="00AE0870" w:rsidP="00634221">
            <w:pPr>
              <w:pStyle w:val="Standard"/>
              <w:rPr>
                <w:rFonts w:cs="Times New Roman"/>
              </w:rPr>
            </w:pPr>
            <w:r w:rsidRPr="00634221">
              <w:rPr>
                <w:rFonts w:cs="Times New Roman"/>
              </w:rPr>
              <w:t>Volunteer basis</w:t>
            </w:r>
          </w:p>
        </w:tc>
        <w:tc>
          <w:tcPr>
            <w:tcW w:w="0" w:type="auto"/>
          </w:tcPr>
          <w:p w:rsidR="00AE0870" w:rsidRPr="00634221" w:rsidRDefault="00AE0870" w:rsidP="00634221">
            <w:pPr>
              <w:pStyle w:val="Standard"/>
              <w:rPr>
                <w:rFonts w:cs="Times New Roman"/>
              </w:rPr>
            </w:pPr>
            <w:r w:rsidRPr="00634221">
              <w:rPr>
                <w:rFonts w:cs="Times New Roman"/>
              </w:rPr>
              <w:t>Obligatory basis</w:t>
            </w:r>
          </w:p>
        </w:tc>
        <w:tc>
          <w:tcPr>
            <w:tcW w:w="0" w:type="auto"/>
          </w:tcPr>
          <w:p w:rsidR="00AE0870" w:rsidRPr="00634221" w:rsidRDefault="00AE0870" w:rsidP="00634221">
            <w:pPr>
              <w:pStyle w:val="Standard"/>
              <w:rPr>
                <w:rFonts w:cs="Times New Roman"/>
              </w:rPr>
            </w:pPr>
            <w:r w:rsidRPr="00634221">
              <w:rPr>
                <w:rFonts w:cs="Times New Roman"/>
              </w:rPr>
              <w:t>Contractual b</w:t>
            </w:r>
            <w:r w:rsidRPr="00634221">
              <w:rPr>
                <w:rFonts w:cs="Times New Roman"/>
              </w:rPr>
              <w:t>a</w:t>
            </w:r>
            <w:r w:rsidRPr="00634221">
              <w:rPr>
                <w:rFonts w:cs="Times New Roman"/>
              </w:rPr>
              <w:t>sis</w:t>
            </w:r>
          </w:p>
        </w:tc>
      </w:tr>
      <w:tr w:rsidR="00634221" w:rsidRPr="00634221" w:rsidTr="00D56360">
        <w:tblPrEx>
          <w:tblCellMar>
            <w:top w:w="0" w:type="dxa"/>
            <w:bottom w:w="0" w:type="dxa"/>
          </w:tblCellMar>
        </w:tblPrEx>
        <w:tc>
          <w:tcPr>
            <w:tcW w:w="0" w:type="auto"/>
          </w:tcPr>
          <w:p w:rsidR="00AE0870" w:rsidRPr="00634221" w:rsidRDefault="00AE0870" w:rsidP="00634221">
            <w:pPr>
              <w:pStyle w:val="Standard"/>
              <w:rPr>
                <w:rFonts w:cs="Times New Roman"/>
              </w:rPr>
            </w:pPr>
            <w:r w:rsidRPr="00634221">
              <w:rPr>
                <w:rFonts w:cs="Times New Roman"/>
              </w:rPr>
              <w:t>Feeling of Connecte</w:t>
            </w:r>
            <w:r w:rsidRPr="00634221">
              <w:rPr>
                <w:rFonts w:cs="Times New Roman"/>
              </w:rPr>
              <w:t>d</w:t>
            </w:r>
            <w:r w:rsidRPr="00634221">
              <w:rPr>
                <w:rFonts w:cs="Times New Roman"/>
              </w:rPr>
              <w:t>ness</w:t>
            </w:r>
          </w:p>
        </w:tc>
        <w:tc>
          <w:tcPr>
            <w:tcW w:w="0" w:type="auto"/>
          </w:tcPr>
          <w:p w:rsidR="00AE0870" w:rsidRPr="00634221" w:rsidRDefault="00AE0870" w:rsidP="00634221">
            <w:pPr>
              <w:pStyle w:val="Standard"/>
              <w:rPr>
                <w:rFonts w:cs="Times New Roman"/>
              </w:rPr>
            </w:pPr>
            <w:r w:rsidRPr="00634221">
              <w:rPr>
                <w:rFonts w:cs="Times New Roman"/>
              </w:rPr>
              <w:t>Shared affinity</w:t>
            </w:r>
          </w:p>
        </w:tc>
        <w:tc>
          <w:tcPr>
            <w:tcW w:w="0" w:type="auto"/>
          </w:tcPr>
          <w:p w:rsidR="00AE0870" w:rsidRPr="00634221" w:rsidRDefault="00AE0870" w:rsidP="00634221">
            <w:pPr>
              <w:pStyle w:val="Standard"/>
              <w:rPr>
                <w:rFonts w:cs="Times New Roman"/>
              </w:rPr>
            </w:pPr>
            <w:r w:rsidRPr="00634221">
              <w:rPr>
                <w:rFonts w:cs="Times New Roman"/>
              </w:rPr>
              <w:t>Coerced affinity</w:t>
            </w:r>
          </w:p>
        </w:tc>
        <w:tc>
          <w:tcPr>
            <w:tcW w:w="0" w:type="auto"/>
          </w:tcPr>
          <w:p w:rsidR="00AE0870" w:rsidRPr="00634221" w:rsidRDefault="00AE0870" w:rsidP="00634221">
            <w:pPr>
              <w:pStyle w:val="Standard"/>
              <w:rPr>
                <w:rFonts w:cs="Times New Roman"/>
              </w:rPr>
            </w:pPr>
            <w:r w:rsidRPr="00634221">
              <w:rPr>
                <w:rFonts w:cs="Times New Roman"/>
              </w:rPr>
              <w:t>Pragmatic affin</w:t>
            </w:r>
            <w:r w:rsidRPr="00634221">
              <w:rPr>
                <w:rFonts w:cs="Times New Roman"/>
              </w:rPr>
              <w:t>i</w:t>
            </w:r>
            <w:r w:rsidRPr="00634221">
              <w:rPr>
                <w:rFonts w:cs="Times New Roman"/>
              </w:rPr>
              <w:t>ty</w:t>
            </w:r>
          </w:p>
        </w:tc>
      </w:tr>
    </w:tbl>
    <w:p w:rsidR="00AE0870" w:rsidRPr="00634221" w:rsidRDefault="00AE0870" w:rsidP="00634221">
      <w:pPr>
        <w:pStyle w:val="Standard"/>
        <w:spacing w:before="120" w:after="120"/>
        <w:outlineLvl w:val="3"/>
        <w:rPr>
          <w:rFonts w:cs="Times New Roman"/>
          <w:b/>
          <w:i/>
        </w:rPr>
      </w:pPr>
      <w:r w:rsidRPr="00634221">
        <w:rPr>
          <w:rFonts w:cs="Times New Roman"/>
          <w:b/>
          <w:i/>
        </w:rPr>
        <w:t>Bureaucracies</w:t>
      </w:r>
    </w:p>
    <w:p w:rsidR="00AE0870" w:rsidRPr="00634221" w:rsidRDefault="00AE0870" w:rsidP="00634221">
      <w:pPr>
        <w:pStyle w:val="Standard"/>
        <w:spacing w:before="239"/>
        <w:ind w:firstLine="288"/>
        <w:rPr>
          <w:rFonts w:cs="Times New Roman"/>
        </w:rPr>
      </w:pPr>
      <w:r w:rsidRPr="00634221">
        <w:rPr>
          <w:rFonts w:cs="Times New Roman"/>
        </w:rPr>
        <w:t>Bureaucracies are an ideal type of formal organization. Pioneer sociologist Max W</w:t>
      </w:r>
      <w:r w:rsidRPr="00634221">
        <w:rPr>
          <w:rFonts w:cs="Times New Roman"/>
        </w:rPr>
        <w:t>e</w:t>
      </w:r>
      <w:r w:rsidRPr="00634221">
        <w:rPr>
          <w:rFonts w:cs="Times New Roman"/>
        </w:rPr>
        <w:t>ber (1922) popularly characterized a bureaucracy as having a hierarchy of authority, a clear division of labour, explicit rules, and impersonality. Bureaucracies were the basic structure of rational efficient organization, yet people often complain about bureaucracies, declaring them slow, rule-bound, difficult to navigate, and unfriendly. Let us take a look at terms that d</w:t>
      </w:r>
      <w:r w:rsidRPr="00634221">
        <w:rPr>
          <w:rFonts w:cs="Times New Roman"/>
        </w:rPr>
        <w:t>e</w:t>
      </w:r>
      <w:r w:rsidRPr="00634221">
        <w:rPr>
          <w:rFonts w:cs="Times New Roman"/>
        </w:rPr>
        <w:t>fine  bureaucracy as an ideal type of formal organization to understand what they mean.</w:t>
      </w:r>
    </w:p>
    <w:p w:rsidR="00AE0870" w:rsidRPr="00634221" w:rsidRDefault="00AE0870" w:rsidP="00634221">
      <w:pPr>
        <w:pStyle w:val="Standard"/>
        <w:spacing w:before="239"/>
        <w:ind w:firstLine="288"/>
        <w:rPr>
          <w:rFonts w:cs="Times New Roman"/>
        </w:rPr>
      </w:pPr>
      <w:r w:rsidRPr="00634221">
        <w:rPr>
          <w:rStyle w:val="bold"/>
          <w:rFonts w:cs="Times New Roman"/>
        </w:rPr>
        <w:lastRenderedPageBreak/>
        <w:t>Hierarchy of authority</w:t>
      </w:r>
      <w:r w:rsidRPr="00634221">
        <w:rPr>
          <w:rFonts w:cs="Times New Roman"/>
        </w:rPr>
        <w:t xml:space="preserve"> refers to the aspect of bureaucracy that places one individual or office in charge of another, who in turn must answer to her own superiors. For example, if you are an employee at Walmart, your shift manager assigns you tasks. Your shift manager answers to the store manager, who must answer to the regional manager, and so on in a chain of command up to the CEO who must answer to the board members, who in turn answer to the stockholders. There is a clear chain of authority that enables the organization to make and comply with decisions.</w:t>
      </w:r>
    </w:p>
    <w:p w:rsidR="00AE0870" w:rsidRPr="00634221" w:rsidRDefault="00AE0870" w:rsidP="00634221">
      <w:pPr>
        <w:pStyle w:val="Standard"/>
        <w:spacing w:before="239"/>
        <w:ind w:firstLine="288"/>
        <w:rPr>
          <w:rFonts w:cs="Times New Roman"/>
        </w:rPr>
      </w:pPr>
      <w:r w:rsidRPr="00634221">
        <w:rPr>
          <w:rFonts w:cs="Times New Roman"/>
        </w:rPr>
        <w:t xml:space="preserve">A </w:t>
      </w:r>
      <w:r w:rsidRPr="00634221">
        <w:rPr>
          <w:rStyle w:val="bold"/>
          <w:rFonts w:cs="Times New Roman"/>
        </w:rPr>
        <w:t>clear division of labour</w:t>
      </w:r>
      <w:r w:rsidRPr="00634221">
        <w:rPr>
          <w:rFonts w:cs="Times New Roman"/>
        </w:rPr>
        <w:t xml:space="preserve"> refers to the fact that within a bureaucracy, each individual has a specialized task to perform. For example, psychology professors teach psychology, but they do not attempt to provide students with financial aid forms. In this case, it is a clear and commonsensical division. But what about in a restaurant where food is backed up in the kitchen and a hostess is standing nearby texting on her phone? Her job is to seat customers, not to deliver food. Is this a smart division of labour?</w:t>
      </w:r>
    </w:p>
    <w:p w:rsidR="00AE0870" w:rsidRPr="00634221" w:rsidRDefault="00AE0870" w:rsidP="00634221">
      <w:pPr>
        <w:pStyle w:val="Standard"/>
        <w:spacing w:before="239"/>
        <w:ind w:firstLine="288"/>
        <w:rPr>
          <w:rFonts w:cs="Times New Roman"/>
        </w:rPr>
      </w:pPr>
      <w:r w:rsidRPr="00634221">
        <w:rPr>
          <w:rFonts w:cs="Times New Roman"/>
        </w:rPr>
        <w:t xml:space="preserve">The existence of </w:t>
      </w:r>
      <w:r w:rsidRPr="00634221">
        <w:rPr>
          <w:rStyle w:val="bold"/>
          <w:rFonts w:cs="Times New Roman"/>
        </w:rPr>
        <w:t>explicit rules</w:t>
      </w:r>
      <w:r w:rsidRPr="00634221">
        <w:rPr>
          <w:rFonts w:cs="Times New Roman"/>
        </w:rPr>
        <w:t xml:space="preserve"> refers to the way in which rules are outlined, written down, and standardized. There is a continuous organization of official functions bound by rules. For example, at your college or university, student guidelines are contained within the student handbook. As technology changes and campuses encounter new concerns like cyberbullying, identity theft, and other issues, organizations are scrambling to ensure their explicit rules cover these emerging topics.</w:t>
      </w:r>
    </w:p>
    <w:p w:rsidR="00AE0870" w:rsidRPr="00634221" w:rsidRDefault="00AE0870" w:rsidP="00634221">
      <w:pPr>
        <w:pStyle w:val="Standard"/>
        <w:spacing w:before="239"/>
        <w:ind w:firstLine="288"/>
        <w:rPr>
          <w:rFonts w:cs="Times New Roman"/>
        </w:rPr>
      </w:pPr>
      <w:r w:rsidRPr="00634221">
        <w:rPr>
          <w:rFonts w:cs="Times New Roman"/>
        </w:rPr>
        <w:t xml:space="preserve">Bureaucracies are also characterized by </w:t>
      </w:r>
      <w:r w:rsidRPr="00634221">
        <w:rPr>
          <w:rStyle w:val="bold"/>
          <w:rFonts w:cs="Times New Roman"/>
        </w:rPr>
        <w:t>impersonality</w:t>
      </w:r>
      <w:r w:rsidRPr="00634221">
        <w:rPr>
          <w:rFonts w:cs="Times New Roman"/>
        </w:rPr>
        <w:t>, which takes personal feelings out of professional situations. Each office or position exists independently of its  incumbent, and clients and workers receive equal treatment. This characteristic grew, to some extent, out of a desire to eliminate the potential for nepotism, backroom deals, and other types of “irrational” favouritism, simultaneously protecting customers and others served by the organization. I</w:t>
      </w:r>
      <w:r w:rsidRPr="00634221">
        <w:rPr>
          <w:rFonts w:cs="Times New Roman"/>
        </w:rPr>
        <w:t>m</w:t>
      </w:r>
      <w:r w:rsidRPr="00634221">
        <w:rPr>
          <w:rFonts w:cs="Times New Roman"/>
        </w:rPr>
        <w:t>personality is an attempt by large formal organizations to protect their members. However, the result is often that personal experience is disregarded. For example, you may be late for work because your car broke down, but the manager at Pizza Hut doesn’t care why you are late, only that you are late.</w:t>
      </w:r>
    </w:p>
    <w:p w:rsidR="00AE0870" w:rsidRPr="00634221" w:rsidRDefault="00AE0870" w:rsidP="00634221">
      <w:pPr>
        <w:pStyle w:val="Standard"/>
        <w:spacing w:before="239"/>
        <w:ind w:firstLine="288"/>
        <w:rPr>
          <w:rFonts w:cs="Times New Roman"/>
        </w:rPr>
      </w:pPr>
      <w:r w:rsidRPr="00634221">
        <w:rPr>
          <w:rFonts w:cs="Times New Roman"/>
        </w:rPr>
        <w:t xml:space="preserve">Finally, bureaucracies are, in theory at least, </w:t>
      </w:r>
      <w:r w:rsidRPr="00634221">
        <w:rPr>
          <w:rStyle w:val="bold"/>
          <w:rFonts w:cs="Times New Roman"/>
        </w:rPr>
        <w:t>meritocracies</w:t>
      </w:r>
      <w:r w:rsidRPr="00634221">
        <w:rPr>
          <w:rFonts w:cs="Times New Roman"/>
        </w:rPr>
        <w:t>, meaning that hiring and pr</w:t>
      </w:r>
      <w:r w:rsidRPr="00634221">
        <w:rPr>
          <w:rFonts w:cs="Times New Roman"/>
        </w:rPr>
        <w:t>o</w:t>
      </w:r>
      <w:r w:rsidRPr="00634221">
        <w:rPr>
          <w:rFonts w:cs="Times New Roman"/>
        </w:rPr>
        <w:t>motion are based on proven and documented skills, rather than on nepotism or random choice. In order to get into graduate school, you need to have an impressive transcript. In o</w:t>
      </w:r>
      <w:r w:rsidRPr="00634221">
        <w:rPr>
          <w:rFonts w:cs="Times New Roman"/>
        </w:rPr>
        <w:t>r</w:t>
      </w:r>
      <w:r w:rsidRPr="00634221">
        <w:rPr>
          <w:rFonts w:cs="Times New Roman"/>
        </w:rPr>
        <w:t>der to become a lawyer and represent clients, you must graduate from law school and pass the provincial bar exam. Of course, there is a popular image of bureaucracies that they reward conformity and sycophancy rather than skill or merit. How well do you think established meritocracies identify talent? Wealthy families hire tutors, interview coaches, test-prep se</w:t>
      </w:r>
      <w:r w:rsidRPr="00634221">
        <w:rPr>
          <w:rFonts w:cs="Times New Roman"/>
        </w:rPr>
        <w:t>r</w:t>
      </w:r>
      <w:r w:rsidRPr="00634221">
        <w:rPr>
          <w:rFonts w:cs="Times New Roman"/>
        </w:rPr>
        <w:t>vices, and consultants to help their children get into the best schools. This starts as early as kindergarten in New York City, where competition for the most highly regarded schools is especially fierce. Are these schools, many of which have copious scholarship funds that are intended to make the school more democratic, really offering all applicants a fair shake?</w:t>
      </w:r>
    </w:p>
    <w:p w:rsidR="00AE0870" w:rsidRPr="00634221" w:rsidRDefault="00AE0870" w:rsidP="00634221">
      <w:pPr>
        <w:pStyle w:val="Standard"/>
        <w:spacing w:before="239"/>
        <w:ind w:firstLine="288"/>
        <w:rPr>
          <w:rFonts w:cs="Times New Roman"/>
        </w:rPr>
      </w:pPr>
      <w:r w:rsidRPr="00634221">
        <w:rPr>
          <w:rFonts w:cs="Times New Roman"/>
        </w:rPr>
        <w:lastRenderedPageBreak/>
        <w:t>There are several positive aspects of bureaucracies. They are intended to improve efficie</w:t>
      </w:r>
      <w:r w:rsidRPr="00634221">
        <w:rPr>
          <w:rFonts w:cs="Times New Roman"/>
        </w:rPr>
        <w:t>n</w:t>
      </w:r>
      <w:r w:rsidRPr="00634221">
        <w:rPr>
          <w:rFonts w:cs="Times New Roman"/>
        </w:rPr>
        <w:t>cy, ensure equal opportunities, and increase efficiency. And there are times when rigid hie</w:t>
      </w:r>
      <w:r w:rsidRPr="00634221">
        <w:rPr>
          <w:rFonts w:cs="Times New Roman"/>
        </w:rPr>
        <w:t>r</w:t>
      </w:r>
      <w:r w:rsidRPr="00634221">
        <w:rPr>
          <w:rFonts w:cs="Times New Roman"/>
        </w:rPr>
        <w:t>archies are needed. However, there is a clear component of irrationality within the rational organization of bureaucracies. Firstly, bureaucracies create conditions of bureaucratic alien</w:t>
      </w:r>
      <w:r w:rsidRPr="00634221">
        <w:rPr>
          <w:rFonts w:cs="Times New Roman"/>
        </w:rPr>
        <w:t>a</w:t>
      </w:r>
      <w:r w:rsidRPr="00634221">
        <w:rPr>
          <w:rFonts w:cs="Times New Roman"/>
        </w:rPr>
        <w:t>tion in which workers cannot find meaning in the repetitive, standardized nature of the tasks they are obliged to perform. As Max Weber put it, the “individual bureaucrat cannot squirm out of the apparatus in which he is harnessed… He is only a single cog in an ever</w:t>
      </w:r>
      <w:r w:rsidRPr="00634221">
        <w:rPr>
          <w:rFonts w:ascii="Cambria Math" w:hAnsi="Cambria Math" w:cs="Cambria Math"/>
        </w:rPr>
        <w:t>‐</w:t>
      </w:r>
      <w:r w:rsidRPr="00634221">
        <w:rPr>
          <w:rFonts w:cs="Times New Roman"/>
        </w:rPr>
        <w:t>moving mechanism which prescribes to him an essentially fixed route of march” (1922). Secondly, bureaucracies can lead to bureaucratic inefficiency and ritualism (red tape). They can focus on rules and regulations to the point of undermining the organization’s goals and purpose. Thirdly, bureaucracies have a tendency toward inertia. You may have heard the expression “trying to turn a tanker around mid-ocean,” which refers to the difficulties of changing dire</w:t>
      </w:r>
      <w:r w:rsidRPr="00634221">
        <w:rPr>
          <w:rFonts w:cs="Times New Roman"/>
        </w:rPr>
        <w:t>c</w:t>
      </w:r>
      <w:r w:rsidRPr="00634221">
        <w:rPr>
          <w:rFonts w:cs="Times New Roman"/>
        </w:rPr>
        <w:t>tion with something large and set in its ways. Inertia means bureaucracies focus on perpetua</w:t>
      </w:r>
      <w:r w:rsidRPr="00634221">
        <w:rPr>
          <w:rFonts w:cs="Times New Roman"/>
        </w:rPr>
        <w:t>t</w:t>
      </w:r>
      <w:r w:rsidRPr="00634221">
        <w:rPr>
          <w:rFonts w:cs="Times New Roman"/>
        </w:rPr>
        <w:t>ing themselves rather than effectively accomplishing or re-evaluating the tasks they were d</w:t>
      </w:r>
      <w:r w:rsidRPr="00634221">
        <w:rPr>
          <w:rFonts w:cs="Times New Roman"/>
        </w:rPr>
        <w:t>e</w:t>
      </w:r>
      <w:r w:rsidRPr="00634221">
        <w:rPr>
          <w:rFonts w:cs="Times New Roman"/>
        </w:rPr>
        <w:t>signed to achieve. Finally, as Robert Michels (1911) suggested, bureaucracies are characte</w:t>
      </w:r>
      <w:r w:rsidRPr="00634221">
        <w:rPr>
          <w:rFonts w:cs="Times New Roman"/>
        </w:rPr>
        <w:t>r</w:t>
      </w:r>
      <w:r w:rsidRPr="00634221">
        <w:rPr>
          <w:rFonts w:cs="Times New Roman"/>
        </w:rPr>
        <w:t xml:space="preserve">ized by the </w:t>
      </w:r>
      <w:r w:rsidRPr="00634221">
        <w:rPr>
          <w:rStyle w:val="bold"/>
          <w:rFonts w:cs="Times New Roman"/>
        </w:rPr>
        <w:t>iron law of oligarchy</w:t>
      </w:r>
      <w:r w:rsidRPr="00634221">
        <w:rPr>
          <w:rFonts w:cs="Times New Roman"/>
        </w:rPr>
        <w:t xml:space="preserve"> in which the organization is ruled by a few elites. The o</w:t>
      </w:r>
      <w:r w:rsidRPr="00634221">
        <w:rPr>
          <w:rFonts w:cs="Times New Roman"/>
        </w:rPr>
        <w:t>r</w:t>
      </w:r>
      <w:r w:rsidRPr="00634221">
        <w:rPr>
          <w:rFonts w:cs="Times New Roman"/>
        </w:rPr>
        <w:t>ganization serves to promote the self-interest of oligarchs and insulate them from the needs of the public or clients.</w:t>
      </w:r>
    </w:p>
    <w:p w:rsidR="00AE0870" w:rsidRPr="00634221" w:rsidRDefault="00AE0870" w:rsidP="00634221">
      <w:pPr>
        <w:pStyle w:val="Standard"/>
        <w:spacing w:before="239"/>
        <w:ind w:firstLine="288"/>
        <w:rPr>
          <w:rFonts w:cs="Times New Roman"/>
        </w:rPr>
        <w:sectPr w:rsidR="00AE0870" w:rsidRPr="00634221">
          <w:type w:val="continuous"/>
          <w:pgSz w:w="11906" w:h="16838"/>
          <w:pgMar w:top="1440" w:right="1440" w:bottom="1440" w:left="1440" w:header="720" w:footer="720" w:gutter="0"/>
          <w:cols w:space="720"/>
        </w:sectPr>
      </w:pPr>
      <w:r w:rsidRPr="00634221">
        <w:rPr>
          <w:rFonts w:cs="Times New Roman"/>
        </w:rPr>
        <w:t>Remember that many of our bureaucracies grew large at the same time that our school model was developed—during the Industrial Revolution. Young workers were trained and organizations were built for mass production, assembly-line work, and factory jobs. In these scenarios, a clear chain of command was critical. Now, in the information age, this kind of rigid training and adherence to protocol can actually decrease both productivity and efficie</w:t>
      </w:r>
      <w:r w:rsidRPr="00634221">
        <w:rPr>
          <w:rFonts w:cs="Times New Roman"/>
        </w:rPr>
        <w:t>n</w:t>
      </w:r>
      <w:r w:rsidRPr="00634221">
        <w:rPr>
          <w:rFonts w:cs="Times New Roman"/>
        </w:rPr>
        <w:t>cy. Today’s workplace requires a faster pace, more problem solving, and a flexible approach to work. Too much adherence to explicit rules and a division of labour can leave an organiz</w:t>
      </w:r>
      <w:r w:rsidRPr="00634221">
        <w:rPr>
          <w:rFonts w:cs="Times New Roman"/>
        </w:rPr>
        <w:t>a</w:t>
      </w:r>
      <w:r w:rsidRPr="00634221">
        <w:rPr>
          <w:rFonts w:cs="Times New Roman"/>
        </w:rPr>
        <w:t>tion behind. Unfortunately, once established, bureaucracies can take on a life of their own. As Max Weber said, “Once it is established, bureaucracy is among those social structures which are the hardest to destroy” (1922).</w:t>
      </w:r>
    </w:p>
    <w:p w:rsidR="00AE0870" w:rsidRPr="00634221" w:rsidRDefault="00AE0870" w:rsidP="00634221">
      <w:pPr>
        <w:pStyle w:val="Standard"/>
        <w:rPr>
          <w:rFonts w:cs="Times New Roman"/>
        </w:rPr>
      </w:pPr>
    </w:p>
    <w:p w:rsidR="00AE0870" w:rsidRPr="00634221" w:rsidRDefault="00AE0870" w:rsidP="00634221">
      <w:pPr>
        <w:rPr>
          <w:rFonts w:cs="Times New Roman"/>
        </w:rPr>
        <w:sectPr w:rsidR="00AE0870" w:rsidRPr="00634221">
          <w:type w:val="continuous"/>
          <w:pgSz w:w="11906" w:h="16838"/>
          <w:pgMar w:top="1440" w:right="1440" w:bottom="1440" w:left="1440" w:header="720" w:footer="720" w:gutter="0"/>
          <w:cols w:space="720"/>
        </w:sectPr>
      </w:pPr>
    </w:p>
    <w:p w:rsidR="00AE0870" w:rsidRPr="00634221" w:rsidRDefault="00AE0870" w:rsidP="00634221">
      <w:pPr>
        <w:pStyle w:val="Standard"/>
        <w:spacing w:before="120" w:after="120"/>
        <w:outlineLvl w:val="2"/>
        <w:rPr>
          <w:rFonts w:cs="Times New Roman"/>
          <w:b/>
        </w:rPr>
      </w:pPr>
      <w:r w:rsidRPr="00634221">
        <w:rPr>
          <w:rFonts w:cs="Times New Roman"/>
          <w:b/>
        </w:rPr>
        <w:lastRenderedPageBreak/>
        <w:t>The McDonaldization of Society</w:t>
      </w:r>
    </w:p>
    <w:p w:rsidR="00AE0870" w:rsidRPr="00634221" w:rsidRDefault="00AE0870" w:rsidP="00634221">
      <w:pPr>
        <w:pStyle w:val="Standard"/>
        <w:spacing w:before="239"/>
        <w:ind w:firstLine="288"/>
        <w:rPr>
          <w:rFonts w:cs="Times New Roman"/>
        </w:rPr>
      </w:pPr>
      <w:r w:rsidRPr="00634221">
        <w:rPr>
          <w:rFonts w:cs="Times New Roman"/>
        </w:rPr>
        <w:t xml:space="preserve">The </w:t>
      </w:r>
      <w:r w:rsidRPr="00634221">
        <w:rPr>
          <w:rStyle w:val="bold"/>
          <w:rFonts w:cs="Times New Roman"/>
        </w:rPr>
        <w:t>McDonaldization</w:t>
      </w:r>
      <w:r w:rsidRPr="00634221">
        <w:rPr>
          <w:rFonts w:cs="Times New Roman"/>
        </w:rPr>
        <w:t xml:space="preserve"> of society (Ritzer 1994) refers to the increasing presence of the fast-food business model in common social institutions. This business model includes eff</w:t>
      </w:r>
      <w:r w:rsidRPr="00634221">
        <w:rPr>
          <w:rFonts w:cs="Times New Roman"/>
        </w:rPr>
        <w:t>i</w:t>
      </w:r>
      <w:r w:rsidRPr="00634221">
        <w:rPr>
          <w:rFonts w:cs="Times New Roman"/>
        </w:rPr>
        <w:t>ciency (the division of labour), predictability, calculability, and control (monitoring). For e</w:t>
      </w:r>
      <w:r w:rsidRPr="00634221">
        <w:rPr>
          <w:rFonts w:cs="Times New Roman"/>
        </w:rPr>
        <w:t>x</w:t>
      </w:r>
      <w:r w:rsidRPr="00634221">
        <w:rPr>
          <w:rFonts w:cs="Times New Roman"/>
        </w:rPr>
        <w:t>ample, in your average chain grocery store, people at the cash register check out customers while stockers keep the shelves full of goods, and deli workers slice meats and cheese to o</w:t>
      </w:r>
      <w:r w:rsidRPr="00634221">
        <w:rPr>
          <w:rFonts w:cs="Times New Roman"/>
        </w:rPr>
        <w:t>r</w:t>
      </w:r>
      <w:r w:rsidRPr="00634221">
        <w:rPr>
          <w:rFonts w:cs="Times New Roman"/>
        </w:rPr>
        <w:t>der (efficiency). Whenever you enter a store within that grocery chain, you receive the same type of goods, see the same store organization, and find the same brands at the same prices (predictability). You will find that goods are sold by the kilogram, so that you can weigh your fruit and vegetable purchases rather than simply guessing at the price for that bag of onions, while the employees use a time card to calculate their hours and receive overtime pay (calc</w:t>
      </w:r>
      <w:r w:rsidRPr="00634221">
        <w:rPr>
          <w:rFonts w:cs="Times New Roman"/>
        </w:rPr>
        <w:t>u</w:t>
      </w:r>
      <w:r w:rsidRPr="00634221">
        <w:rPr>
          <w:rFonts w:cs="Times New Roman"/>
        </w:rPr>
        <w:t xml:space="preserve">lability). Finally, you will notice that all store employees are wearing a uniform (and usually a name tag) so that they can be easily identified. There are security cameras to </w:t>
      </w:r>
      <w:r w:rsidRPr="00634221">
        <w:rPr>
          <w:rFonts w:cs="Times New Roman"/>
        </w:rPr>
        <w:lastRenderedPageBreak/>
        <w:t>monitor the store, and some parts of the store, such as the stockroom, are generally considered off-limits to customers (control).</w:t>
      </w:r>
    </w:p>
    <w:p w:rsidR="00AE0870" w:rsidRPr="00634221" w:rsidRDefault="00AE0870" w:rsidP="00634221">
      <w:pPr>
        <w:pStyle w:val="Standard"/>
        <w:spacing w:before="239"/>
        <w:ind w:firstLine="288"/>
        <w:rPr>
          <w:rFonts w:cs="Times New Roman"/>
        </w:rPr>
      </w:pPr>
      <w:r w:rsidRPr="00634221">
        <w:rPr>
          <w:rFonts w:cs="Times New Roman"/>
        </w:rPr>
        <w:t>While McDonaldization has resulted in improved profits and an increased availability of various goods and services to more people worldwide, it has also reduced the variety of goods available in the marketplace while rendering available products uniform, generic, and bland. Think of the difference between a mass-produced shoe and one made by a local co</w:t>
      </w:r>
      <w:r w:rsidRPr="00634221">
        <w:rPr>
          <w:rFonts w:cs="Times New Roman"/>
        </w:rPr>
        <w:t>b</w:t>
      </w:r>
      <w:r w:rsidRPr="00634221">
        <w:rPr>
          <w:rFonts w:cs="Times New Roman"/>
        </w:rPr>
        <w:t>bler, between a chicken from a family-owned farm versus a corporate grower, or a cup of co</w:t>
      </w:r>
      <w:r w:rsidRPr="00634221">
        <w:rPr>
          <w:rFonts w:cs="Times New Roman"/>
        </w:rPr>
        <w:t>f</w:t>
      </w:r>
      <w:r w:rsidRPr="00634221">
        <w:rPr>
          <w:rFonts w:cs="Times New Roman"/>
        </w:rPr>
        <w:t>fee from the local roaster instead of one from a coffee-shop chain. Ritzer also notes that the rational systems, as efficient as they are, are irrational in that they become more important than the people working within them, or the clients being served by them. “Most specifically, irrationality means that rational systems are unreasonable systems. By that I mean that they deny the basic humanity, the human reason, of the people who work within or are served by them.” (Ritzer 1994)</w:t>
      </w:r>
    </w:p>
    <w:p w:rsidR="00AE0870" w:rsidRPr="00634221" w:rsidRDefault="00AE0870" w:rsidP="00634221">
      <w:pPr>
        <w:pStyle w:val="Standard"/>
        <w:rPr>
          <w:rFonts w:cs="Times New Roman"/>
        </w:rPr>
      </w:pPr>
    </w:p>
    <w:p w:rsidR="00AE0870" w:rsidRPr="00634221" w:rsidRDefault="00AE0870" w:rsidP="00634221">
      <w:pPr>
        <w:pStyle w:val="Standard"/>
        <w:spacing w:before="239"/>
        <w:ind w:firstLine="288"/>
        <w:rPr>
          <w:rFonts w:cs="Times New Roman"/>
        </w:rPr>
      </w:pPr>
      <w:r w:rsidRPr="00634221">
        <w:rPr>
          <w:rFonts w:cs="Times New Roman"/>
        </w:rPr>
        <w:t> </w:t>
      </w:r>
    </w:p>
    <w:p w:rsidR="00AE0870" w:rsidRPr="00634221" w:rsidRDefault="00AE0870" w:rsidP="00634221">
      <w:pPr>
        <w:pStyle w:val="Standard"/>
        <w:spacing w:before="120" w:after="120"/>
        <w:outlineLvl w:val="1"/>
        <w:rPr>
          <w:rFonts w:cs="Times New Roman"/>
          <w:b/>
        </w:rPr>
      </w:pPr>
      <w:r w:rsidRPr="00634221">
        <w:rPr>
          <w:rFonts w:cs="Times New Roman"/>
          <w:b/>
        </w:rPr>
        <w:t>Section Summary</w:t>
      </w:r>
    </w:p>
    <w:p w:rsidR="00AE0870" w:rsidRPr="00634221" w:rsidRDefault="00AE0870" w:rsidP="00634221">
      <w:pPr>
        <w:pStyle w:val="Standard"/>
        <w:spacing w:before="239"/>
        <w:ind w:firstLine="288"/>
        <w:rPr>
          <w:rFonts w:cs="Times New Roman"/>
        </w:rPr>
      </w:pPr>
      <w:r w:rsidRPr="00634221">
        <w:rPr>
          <w:rStyle w:val="bold"/>
          <w:rFonts w:cs="Times New Roman"/>
        </w:rPr>
        <w:t>6.1. Types of Groups</w:t>
      </w:r>
      <w:r w:rsidRPr="00634221">
        <w:rPr>
          <w:rFonts w:cs="Times New Roman"/>
        </w:rPr>
        <w:br/>
        <w:t xml:space="preserve"> Groups largely define how we think of ourselves. There are two main types of groups: pr</w:t>
      </w:r>
      <w:r w:rsidRPr="00634221">
        <w:rPr>
          <w:rFonts w:cs="Times New Roman"/>
        </w:rPr>
        <w:t>i</w:t>
      </w:r>
      <w:r w:rsidRPr="00634221">
        <w:rPr>
          <w:rFonts w:cs="Times New Roman"/>
        </w:rPr>
        <w:t>mary and secondary. As the names suggest, the primary group is the long-term, complex one. People use groups as standards of comparison to define themselves—as both who they are and who they are not. Sometimes groups can be used to exclude people or as a tool that strengthens prejudice.</w:t>
      </w:r>
    </w:p>
    <w:p w:rsidR="00AE0870" w:rsidRPr="00634221" w:rsidRDefault="00AE0870" w:rsidP="00634221">
      <w:pPr>
        <w:pStyle w:val="Standard"/>
        <w:spacing w:before="239"/>
        <w:ind w:firstLine="288"/>
        <w:rPr>
          <w:rFonts w:cs="Times New Roman"/>
        </w:rPr>
      </w:pPr>
      <w:r w:rsidRPr="00634221">
        <w:rPr>
          <w:rStyle w:val="bold"/>
          <w:rFonts w:cs="Times New Roman"/>
        </w:rPr>
        <w:t>6.2. Groups and Networks</w:t>
      </w:r>
      <w:r w:rsidRPr="00634221">
        <w:rPr>
          <w:rFonts w:cs="Times New Roman"/>
        </w:rPr>
        <w:br/>
        <w:t xml:space="preserve"> The size and dynamic of a group greatly affects how members act. Primary groups rarely have formal leaders, although there can be informal leadership. Groups generally are consi</w:t>
      </w:r>
      <w:r w:rsidRPr="00634221">
        <w:rPr>
          <w:rFonts w:cs="Times New Roman"/>
        </w:rPr>
        <w:t>d</w:t>
      </w:r>
      <w:r w:rsidRPr="00634221">
        <w:rPr>
          <w:rFonts w:cs="Times New Roman"/>
        </w:rPr>
        <w:t>ered large when there are too many members for a simultaneous discussion. Social networks are  collections of people tied together by a specific configuration of connections. The stru</w:t>
      </w:r>
      <w:r w:rsidRPr="00634221">
        <w:rPr>
          <w:rFonts w:cs="Times New Roman"/>
        </w:rPr>
        <w:t>c</w:t>
      </w:r>
      <w:r w:rsidRPr="00634221">
        <w:rPr>
          <w:rFonts w:cs="Times New Roman"/>
        </w:rPr>
        <w:t>ture and function of the connections determine what the network is capable of and how it i</w:t>
      </w:r>
      <w:r w:rsidRPr="00634221">
        <w:rPr>
          <w:rFonts w:cs="Times New Roman"/>
        </w:rPr>
        <w:t>n</w:t>
      </w:r>
      <w:r w:rsidRPr="00634221">
        <w:rPr>
          <w:rFonts w:cs="Times New Roman"/>
        </w:rPr>
        <w:t>fluences its members.</w:t>
      </w:r>
    </w:p>
    <w:p w:rsidR="00AE0870" w:rsidRPr="00634221" w:rsidRDefault="00AE0870" w:rsidP="00634221">
      <w:pPr>
        <w:pStyle w:val="Standard"/>
        <w:spacing w:before="239"/>
        <w:ind w:firstLine="288"/>
        <w:rPr>
          <w:rFonts w:cs="Times New Roman"/>
        </w:rPr>
      </w:pPr>
      <w:r w:rsidRPr="00634221">
        <w:rPr>
          <w:rFonts w:cs="Times New Roman"/>
        </w:rPr>
        <w:t>In secondary groups, there are two types of leadership functions, with expressive leaders focused on emotional health and wellness, and instrumental leaders more focused on results. Further, there are different leadership styles: democratic leaders, authoritarian leaders, and laissez-faire leaders.</w:t>
      </w:r>
    </w:p>
    <w:p w:rsidR="00AE0870" w:rsidRPr="00634221" w:rsidRDefault="00AE0870" w:rsidP="00634221">
      <w:pPr>
        <w:pStyle w:val="Standard"/>
        <w:spacing w:before="239"/>
        <w:ind w:firstLine="288"/>
        <w:rPr>
          <w:rFonts w:cs="Times New Roman"/>
        </w:rPr>
      </w:pPr>
      <w:r w:rsidRPr="00634221">
        <w:rPr>
          <w:rFonts w:cs="Times New Roman"/>
        </w:rPr>
        <w:t>Within a group, conformity is the extent to which people want to go along with the norm. A number of experiments have illustrated how strong the drive to conform can be. It is worth considering real-life examples of how conformity and obedience can lead people to ethically and morally suspect acts.</w:t>
      </w:r>
    </w:p>
    <w:p w:rsidR="00AE0870" w:rsidRPr="00634221" w:rsidRDefault="00AE0870" w:rsidP="00634221">
      <w:pPr>
        <w:pStyle w:val="Standard"/>
        <w:spacing w:before="239"/>
        <w:ind w:firstLine="288"/>
        <w:rPr>
          <w:rFonts w:cs="Times New Roman"/>
        </w:rPr>
      </w:pPr>
      <w:r w:rsidRPr="00634221">
        <w:rPr>
          <w:rStyle w:val="bold"/>
          <w:rFonts w:cs="Times New Roman"/>
        </w:rPr>
        <w:lastRenderedPageBreak/>
        <w:t>6.3. Formal Organizations</w:t>
      </w:r>
      <w:r w:rsidRPr="00634221">
        <w:rPr>
          <w:rFonts w:cs="Times New Roman"/>
        </w:rPr>
        <w:br/>
        <w:t xml:space="preserve"> Large organizations fall into three main categories: normative/voluntary, coercive, and util</w:t>
      </w:r>
      <w:r w:rsidRPr="00634221">
        <w:rPr>
          <w:rFonts w:cs="Times New Roman"/>
        </w:rPr>
        <w:t>i</w:t>
      </w:r>
      <w:r w:rsidRPr="00634221">
        <w:rPr>
          <w:rFonts w:cs="Times New Roman"/>
        </w:rPr>
        <w:t>tarian. We live in a time of contradiction: while the pace of change and technology are requi</w:t>
      </w:r>
      <w:r w:rsidRPr="00634221">
        <w:rPr>
          <w:rFonts w:cs="Times New Roman"/>
        </w:rPr>
        <w:t>r</w:t>
      </w:r>
      <w:r w:rsidRPr="00634221">
        <w:rPr>
          <w:rFonts w:cs="Times New Roman"/>
        </w:rPr>
        <w:t>ing people to be more nimble and less bureaucratic in their thinking, large bureaucracies like hospitals, schools, and governments are more hampered than ever by their organizational format. At the same time, the past few decades have seen the development of a trend to b</w:t>
      </w:r>
      <w:r w:rsidRPr="00634221">
        <w:rPr>
          <w:rFonts w:cs="Times New Roman"/>
        </w:rPr>
        <w:t>u</w:t>
      </w:r>
      <w:r w:rsidRPr="00634221">
        <w:rPr>
          <w:rFonts w:cs="Times New Roman"/>
        </w:rPr>
        <w:t>reaucratize and conventionalize local institutions. Increasingly, Main Streets across the cou</w:t>
      </w:r>
      <w:r w:rsidRPr="00634221">
        <w:rPr>
          <w:rFonts w:cs="Times New Roman"/>
        </w:rPr>
        <w:t>n</w:t>
      </w:r>
      <w:r w:rsidRPr="00634221">
        <w:rPr>
          <w:rFonts w:cs="Times New Roman"/>
        </w:rPr>
        <w:t>try resemble each other; instead of a Bob’s Coffee Shop and Jane’s Hair Salon there is a Dunkin Donuts and a Supercuts. This trend has been referred to as the McDonaldization of society.</w:t>
      </w:r>
    </w:p>
    <w:sectPr w:rsidR="00AE0870" w:rsidRPr="00634221" w:rsidSect="00634221">
      <w:type w:val="continuous"/>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C03BB"/>
    <w:multiLevelType w:val="multilevel"/>
    <w:tmpl w:val="A4D87E28"/>
    <w:styleLink w:val="Lis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70"/>
    <w:rsid w:val="00240528"/>
    <w:rsid w:val="005D582F"/>
    <w:rsid w:val="00634221"/>
    <w:rsid w:val="0083339E"/>
    <w:rsid w:val="00AE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0870"/>
    <w:pPr>
      <w:autoSpaceDN w:val="0"/>
      <w:spacing w:after="0"/>
      <w:textAlignment w:val="baseline"/>
    </w:pPr>
    <w:rPr>
      <w:rFonts w:ascii="Times New Roman" w:eastAsia="Times New Roman" w:hAnsi="Times New Roman" w:cs="Lath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E0870"/>
    <w:pPr>
      <w:autoSpaceDN w:val="0"/>
      <w:spacing w:after="0"/>
      <w:textAlignment w:val="baseline"/>
    </w:pPr>
    <w:rPr>
      <w:rFonts w:ascii="Times New Roman" w:eastAsia="Times New Roman" w:hAnsi="Times New Roman" w:cs="Latha"/>
      <w:sz w:val="24"/>
      <w:szCs w:val="24"/>
    </w:rPr>
  </w:style>
  <w:style w:type="character" w:customStyle="1" w:styleId="italic">
    <w:name w:val="italic"/>
    <w:rsid w:val="00AE0870"/>
    <w:rPr>
      <w:i/>
    </w:rPr>
  </w:style>
  <w:style w:type="character" w:customStyle="1" w:styleId="bold">
    <w:name w:val="bold"/>
    <w:rsid w:val="00AE0870"/>
    <w:rPr>
      <w:b/>
    </w:rPr>
  </w:style>
  <w:style w:type="paragraph" w:customStyle="1" w:styleId="PCenter">
    <w:name w:val="P_Center"/>
    <w:basedOn w:val="Standard"/>
    <w:rsid w:val="00AE0870"/>
    <w:pPr>
      <w:jc w:val="center"/>
    </w:pPr>
  </w:style>
  <w:style w:type="numbering" w:customStyle="1" w:styleId="List1">
    <w:name w:val="List1"/>
    <w:basedOn w:val="NoList"/>
    <w:rsid w:val="00AE0870"/>
    <w:pPr>
      <w:numPr>
        <w:numId w:val="1"/>
      </w:numPr>
    </w:pPr>
  </w:style>
  <w:style w:type="paragraph" w:styleId="BalloonText">
    <w:name w:val="Balloon Text"/>
    <w:basedOn w:val="Normal"/>
    <w:link w:val="BalloonTextChar"/>
    <w:uiPriority w:val="99"/>
    <w:semiHidden/>
    <w:unhideWhenUsed/>
    <w:rsid w:val="00AE08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0870"/>
    <w:pPr>
      <w:autoSpaceDN w:val="0"/>
      <w:spacing w:after="0"/>
      <w:textAlignment w:val="baseline"/>
    </w:pPr>
    <w:rPr>
      <w:rFonts w:ascii="Times New Roman" w:eastAsia="Times New Roman" w:hAnsi="Times New Roman" w:cs="Lath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E0870"/>
    <w:pPr>
      <w:autoSpaceDN w:val="0"/>
      <w:spacing w:after="0"/>
      <w:textAlignment w:val="baseline"/>
    </w:pPr>
    <w:rPr>
      <w:rFonts w:ascii="Times New Roman" w:eastAsia="Times New Roman" w:hAnsi="Times New Roman" w:cs="Latha"/>
      <w:sz w:val="24"/>
      <w:szCs w:val="24"/>
    </w:rPr>
  </w:style>
  <w:style w:type="character" w:customStyle="1" w:styleId="italic">
    <w:name w:val="italic"/>
    <w:rsid w:val="00AE0870"/>
    <w:rPr>
      <w:i/>
    </w:rPr>
  </w:style>
  <w:style w:type="character" w:customStyle="1" w:styleId="bold">
    <w:name w:val="bold"/>
    <w:rsid w:val="00AE0870"/>
    <w:rPr>
      <w:b/>
    </w:rPr>
  </w:style>
  <w:style w:type="paragraph" w:customStyle="1" w:styleId="PCenter">
    <w:name w:val="P_Center"/>
    <w:basedOn w:val="Standard"/>
    <w:rsid w:val="00AE0870"/>
    <w:pPr>
      <w:jc w:val="center"/>
    </w:pPr>
  </w:style>
  <w:style w:type="numbering" w:customStyle="1" w:styleId="List1">
    <w:name w:val="List1"/>
    <w:basedOn w:val="NoList"/>
    <w:rsid w:val="00AE0870"/>
    <w:pPr>
      <w:numPr>
        <w:numId w:val="1"/>
      </w:numPr>
    </w:pPr>
  </w:style>
  <w:style w:type="paragraph" w:styleId="BalloonText">
    <w:name w:val="Balloon Text"/>
    <w:basedOn w:val="Normal"/>
    <w:link w:val="BalloonTextChar"/>
    <w:uiPriority w:val="99"/>
    <w:semiHidden/>
    <w:unhideWhenUsed/>
    <w:rsid w:val="00AE08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NUL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5392</Words>
  <Characters>30740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SUMERA</dc:creator>
  <cp:lastModifiedBy>SUMERA</cp:lastModifiedBy>
  <cp:revision>2</cp:revision>
  <dcterms:created xsi:type="dcterms:W3CDTF">2019-10-30T05:57:00Z</dcterms:created>
  <dcterms:modified xsi:type="dcterms:W3CDTF">2019-10-30T06:12:00Z</dcterms:modified>
</cp:coreProperties>
</file>